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D63DA4" w:rsidRDefault="007766DD" w:rsidP="00EB38E6">
      <w:pPr>
        <w:jc w:val="center"/>
        <w:rPr>
          <w:lang w:val="en-GB"/>
        </w:rPr>
      </w:pPr>
      <w:r w:rsidRPr="00D63DA4">
        <w:rPr>
          <w:noProof/>
        </w:rPr>
        <w:drawing>
          <wp:inline distT="0" distB="0" distL="0" distR="0" wp14:anchorId="345CDB66" wp14:editId="69599F4F">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2B26D6" w:rsidRPr="00D63DA4" w:rsidRDefault="002B26D6" w:rsidP="000F7E70">
      <w:pPr>
        <w:autoSpaceDE w:val="0"/>
        <w:ind w:left="720" w:firstLine="720"/>
        <w:jc w:val="center"/>
        <w:rPr>
          <w:b/>
          <w:bCs/>
          <w:lang w:val="en-GB"/>
        </w:rPr>
      </w:pPr>
    </w:p>
    <w:p w:rsidR="000F7E70" w:rsidRPr="00D63DA4" w:rsidRDefault="000F7E70" w:rsidP="00EB38E6">
      <w:pPr>
        <w:autoSpaceDE w:val="0"/>
        <w:ind w:hanging="11"/>
        <w:jc w:val="center"/>
        <w:rPr>
          <w:b/>
          <w:bCs/>
          <w:lang w:val="en-GB"/>
        </w:rPr>
      </w:pPr>
      <w:r w:rsidRPr="00D63DA4">
        <w:rPr>
          <w:b/>
          <w:bCs/>
          <w:lang w:val="en-GB"/>
        </w:rPr>
        <w:t>OPINION</w:t>
      </w:r>
    </w:p>
    <w:p w:rsidR="00D63DA4" w:rsidRDefault="00D63DA4" w:rsidP="000F7E70">
      <w:pPr>
        <w:autoSpaceDE w:val="0"/>
        <w:jc w:val="both"/>
        <w:rPr>
          <w:b/>
          <w:bCs/>
          <w:lang w:val="en-GB"/>
        </w:rPr>
      </w:pPr>
    </w:p>
    <w:p w:rsidR="000F7E70" w:rsidRPr="00D63DA4" w:rsidRDefault="000F7E70" w:rsidP="000F7E70">
      <w:pPr>
        <w:autoSpaceDE w:val="0"/>
        <w:jc w:val="both"/>
        <w:rPr>
          <w:b/>
          <w:bCs/>
          <w:lang w:val="en-GB"/>
        </w:rPr>
      </w:pPr>
      <w:r w:rsidRPr="00D63DA4">
        <w:rPr>
          <w:b/>
          <w:bCs/>
          <w:lang w:val="en-GB"/>
        </w:rPr>
        <w:t xml:space="preserve">Date of adoption: </w:t>
      </w:r>
      <w:r w:rsidR="00D63DA4">
        <w:rPr>
          <w:b/>
          <w:bCs/>
          <w:lang w:val="en-GB"/>
        </w:rPr>
        <w:t>17</w:t>
      </w:r>
      <w:r w:rsidRPr="00D63DA4">
        <w:rPr>
          <w:b/>
          <w:bCs/>
          <w:lang w:val="en-GB"/>
        </w:rPr>
        <w:t xml:space="preserve"> </w:t>
      </w:r>
      <w:r w:rsidR="002D428F" w:rsidRPr="00D63DA4">
        <w:rPr>
          <w:b/>
          <w:bCs/>
          <w:lang w:val="en-GB"/>
        </w:rPr>
        <w:t>September</w:t>
      </w:r>
      <w:r w:rsidR="00F13DE4" w:rsidRPr="00D63DA4">
        <w:rPr>
          <w:b/>
          <w:bCs/>
          <w:lang w:val="en-GB"/>
        </w:rPr>
        <w:t xml:space="preserve"> </w:t>
      </w:r>
      <w:r w:rsidRPr="00D63DA4">
        <w:rPr>
          <w:b/>
          <w:bCs/>
          <w:lang w:val="en-GB"/>
        </w:rPr>
        <w:t>20</w:t>
      </w:r>
      <w:r w:rsidR="00C905F1" w:rsidRPr="00D63DA4">
        <w:rPr>
          <w:b/>
          <w:bCs/>
          <w:lang w:val="en-GB"/>
        </w:rPr>
        <w:t>1</w:t>
      </w:r>
      <w:r w:rsidR="000A65EB" w:rsidRPr="00D63DA4">
        <w:rPr>
          <w:b/>
          <w:bCs/>
          <w:lang w:val="en-GB"/>
        </w:rPr>
        <w:t>4</w:t>
      </w:r>
    </w:p>
    <w:p w:rsidR="00E327E1" w:rsidRPr="00D63DA4" w:rsidRDefault="00E327E1" w:rsidP="000F7E70">
      <w:pPr>
        <w:autoSpaceDE w:val="0"/>
        <w:jc w:val="both"/>
        <w:rPr>
          <w:b/>
          <w:bCs/>
          <w:lang w:val="en-GB"/>
        </w:rPr>
      </w:pPr>
    </w:p>
    <w:p w:rsidR="0058094E" w:rsidRPr="00D63DA4" w:rsidRDefault="0058094E" w:rsidP="0058094E">
      <w:pPr>
        <w:autoSpaceDE w:val="0"/>
        <w:autoSpaceDN w:val="0"/>
        <w:adjustRightInd w:val="0"/>
        <w:jc w:val="both"/>
        <w:rPr>
          <w:b/>
          <w:bCs/>
        </w:rPr>
      </w:pPr>
      <w:r w:rsidRPr="00D63DA4">
        <w:rPr>
          <w:b/>
          <w:bCs/>
        </w:rPr>
        <w:t>Case No. 176/09</w:t>
      </w:r>
    </w:p>
    <w:p w:rsidR="0058094E" w:rsidRPr="00D63DA4" w:rsidRDefault="0058094E" w:rsidP="0058094E">
      <w:pPr>
        <w:autoSpaceDE w:val="0"/>
        <w:autoSpaceDN w:val="0"/>
        <w:adjustRightInd w:val="0"/>
        <w:jc w:val="both"/>
        <w:rPr>
          <w:b/>
          <w:bCs/>
        </w:rPr>
      </w:pPr>
    </w:p>
    <w:p w:rsidR="002D428F" w:rsidRPr="00D63DA4" w:rsidRDefault="0058094E" w:rsidP="0058094E">
      <w:pPr>
        <w:autoSpaceDE w:val="0"/>
        <w:autoSpaceDN w:val="0"/>
        <w:adjustRightInd w:val="0"/>
        <w:jc w:val="both"/>
        <w:rPr>
          <w:b/>
          <w:bCs/>
          <w:lang w:val="en-GB"/>
        </w:rPr>
      </w:pPr>
      <w:r w:rsidRPr="00D63DA4">
        <w:rPr>
          <w:b/>
        </w:rPr>
        <w:t xml:space="preserve">Bora </w:t>
      </w:r>
      <w:bookmarkStart w:id="0" w:name="_GoBack"/>
      <w:r w:rsidRPr="00D63DA4">
        <w:rPr>
          <w:b/>
        </w:rPr>
        <w:t>MILENKOVI</w:t>
      </w:r>
      <w:r w:rsidRPr="00D63DA4">
        <w:rPr>
          <w:b/>
          <w:caps/>
        </w:rPr>
        <w:t>ć</w:t>
      </w:r>
      <w:bookmarkEnd w:id="0"/>
    </w:p>
    <w:p w:rsidR="002D428F" w:rsidRPr="00D63DA4" w:rsidRDefault="002D428F" w:rsidP="002D428F">
      <w:pPr>
        <w:autoSpaceDE w:val="0"/>
        <w:autoSpaceDN w:val="0"/>
        <w:adjustRightInd w:val="0"/>
        <w:jc w:val="both"/>
        <w:rPr>
          <w:b/>
          <w:bCs/>
          <w:lang w:val="en-GB"/>
        </w:rPr>
      </w:pPr>
    </w:p>
    <w:p w:rsidR="002D428F" w:rsidRPr="00D63DA4" w:rsidRDefault="002D428F" w:rsidP="002D428F">
      <w:pPr>
        <w:autoSpaceDE w:val="0"/>
        <w:autoSpaceDN w:val="0"/>
        <w:adjustRightInd w:val="0"/>
        <w:jc w:val="both"/>
        <w:rPr>
          <w:b/>
          <w:bCs/>
          <w:lang w:val="en-GB"/>
        </w:rPr>
      </w:pPr>
      <w:proofErr w:type="gramStart"/>
      <w:r w:rsidRPr="00D63DA4">
        <w:rPr>
          <w:b/>
          <w:bCs/>
          <w:lang w:val="en-GB"/>
        </w:rPr>
        <w:t>against</w:t>
      </w:r>
      <w:proofErr w:type="gramEnd"/>
    </w:p>
    <w:p w:rsidR="002D428F" w:rsidRPr="00D63DA4" w:rsidRDefault="002D428F" w:rsidP="002D428F">
      <w:pPr>
        <w:autoSpaceDE w:val="0"/>
        <w:autoSpaceDN w:val="0"/>
        <w:adjustRightInd w:val="0"/>
        <w:jc w:val="both"/>
        <w:rPr>
          <w:b/>
          <w:bCs/>
          <w:lang w:val="en-GB"/>
        </w:rPr>
      </w:pPr>
    </w:p>
    <w:p w:rsidR="002D428F" w:rsidRPr="00D63DA4" w:rsidRDefault="002D428F" w:rsidP="002D428F">
      <w:pPr>
        <w:autoSpaceDE w:val="0"/>
        <w:autoSpaceDN w:val="0"/>
        <w:adjustRightInd w:val="0"/>
        <w:jc w:val="both"/>
        <w:rPr>
          <w:b/>
          <w:bCs/>
          <w:lang w:val="en-GB"/>
        </w:rPr>
      </w:pPr>
      <w:r w:rsidRPr="00D63DA4">
        <w:rPr>
          <w:b/>
          <w:bCs/>
          <w:lang w:val="en-GB"/>
        </w:rPr>
        <w:t xml:space="preserve">UNMIK </w:t>
      </w:r>
    </w:p>
    <w:p w:rsidR="00E07C8C" w:rsidRPr="00D63DA4" w:rsidRDefault="00E07C8C" w:rsidP="000F7E70">
      <w:pPr>
        <w:autoSpaceDE w:val="0"/>
        <w:jc w:val="both"/>
        <w:rPr>
          <w:b/>
          <w:bCs/>
          <w:lang w:val="en-GB"/>
        </w:rPr>
      </w:pPr>
    </w:p>
    <w:p w:rsidR="004202B2" w:rsidRPr="00D63DA4" w:rsidRDefault="004202B2" w:rsidP="000F7E70">
      <w:pPr>
        <w:autoSpaceDE w:val="0"/>
        <w:jc w:val="both"/>
        <w:rPr>
          <w:b/>
          <w:bCs/>
          <w:lang w:val="en-GB"/>
        </w:rPr>
      </w:pPr>
    </w:p>
    <w:p w:rsidR="002D428F" w:rsidRPr="00D63DA4" w:rsidRDefault="002D428F" w:rsidP="002D428F">
      <w:pPr>
        <w:autoSpaceDE w:val="0"/>
        <w:jc w:val="both"/>
      </w:pPr>
      <w:r w:rsidRPr="00D63DA4">
        <w:t xml:space="preserve">The Human Rights Advisory Panel, on </w:t>
      </w:r>
      <w:r w:rsidR="00D63DA4">
        <w:t>17</w:t>
      </w:r>
      <w:r w:rsidRPr="00D63DA4">
        <w:t xml:space="preserve"> September 2014,</w:t>
      </w:r>
    </w:p>
    <w:p w:rsidR="002D428F" w:rsidRPr="00D63DA4" w:rsidRDefault="002D428F" w:rsidP="002D428F">
      <w:pPr>
        <w:autoSpaceDE w:val="0"/>
        <w:jc w:val="both"/>
      </w:pPr>
      <w:proofErr w:type="gramStart"/>
      <w:r w:rsidRPr="00D63DA4">
        <w:t>with</w:t>
      </w:r>
      <w:proofErr w:type="gramEnd"/>
      <w:r w:rsidRPr="00D63DA4">
        <w:t xml:space="preserve"> the following members taking part:</w:t>
      </w:r>
    </w:p>
    <w:p w:rsidR="002D428F" w:rsidRPr="00D63DA4" w:rsidRDefault="002D428F" w:rsidP="002D428F">
      <w:pPr>
        <w:autoSpaceDE w:val="0"/>
        <w:jc w:val="both"/>
      </w:pPr>
    </w:p>
    <w:p w:rsidR="002D428F" w:rsidRPr="00D63DA4" w:rsidRDefault="002D428F" w:rsidP="002D428F">
      <w:pPr>
        <w:autoSpaceDE w:val="0"/>
        <w:jc w:val="both"/>
      </w:pPr>
      <w:r w:rsidRPr="00D63DA4">
        <w:t>Marek Nowicki, Presiding Member</w:t>
      </w:r>
    </w:p>
    <w:p w:rsidR="002D428F" w:rsidRPr="00D63DA4" w:rsidRDefault="002D428F" w:rsidP="002D428F">
      <w:pPr>
        <w:autoSpaceDE w:val="0"/>
        <w:jc w:val="both"/>
      </w:pPr>
      <w:r w:rsidRPr="00D63DA4">
        <w:t>Christine Chinkin</w:t>
      </w:r>
    </w:p>
    <w:p w:rsidR="002D428F" w:rsidRPr="00D63DA4" w:rsidRDefault="002D428F" w:rsidP="002D428F">
      <w:pPr>
        <w:autoSpaceDE w:val="0"/>
        <w:jc w:val="both"/>
        <w:rPr>
          <w:color w:val="FF0000"/>
        </w:rPr>
      </w:pPr>
      <w:r w:rsidRPr="00D63DA4">
        <w:t>Françoise Tulkens</w:t>
      </w:r>
    </w:p>
    <w:p w:rsidR="002D428F" w:rsidRPr="00D63DA4" w:rsidRDefault="002D428F" w:rsidP="002D428F">
      <w:pPr>
        <w:autoSpaceDE w:val="0"/>
        <w:jc w:val="both"/>
      </w:pPr>
    </w:p>
    <w:p w:rsidR="002D428F" w:rsidRPr="00D63DA4" w:rsidRDefault="002D428F" w:rsidP="002D428F">
      <w:pPr>
        <w:autoSpaceDE w:val="0"/>
        <w:jc w:val="both"/>
      </w:pPr>
      <w:r w:rsidRPr="00D63DA4">
        <w:t>Assisted by</w:t>
      </w:r>
    </w:p>
    <w:p w:rsidR="002D428F" w:rsidRPr="00D63DA4" w:rsidRDefault="002D428F" w:rsidP="002D428F">
      <w:pPr>
        <w:autoSpaceDE w:val="0"/>
        <w:jc w:val="both"/>
      </w:pPr>
    </w:p>
    <w:p w:rsidR="002D428F" w:rsidRPr="00D63DA4" w:rsidRDefault="002D428F" w:rsidP="002D428F">
      <w:pPr>
        <w:autoSpaceDE w:val="0"/>
        <w:jc w:val="both"/>
      </w:pPr>
      <w:r w:rsidRPr="00D63DA4">
        <w:t>Andrey Antonov, Executive Officer</w:t>
      </w:r>
    </w:p>
    <w:p w:rsidR="002D428F" w:rsidRPr="00D63DA4" w:rsidRDefault="002D428F" w:rsidP="002D428F">
      <w:pPr>
        <w:autoSpaceDE w:val="0"/>
        <w:jc w:val="both"/>
      </w:pPr>
    </w:p>
    <w:p w:rsidR="002D428F" w:rsidRPr="00D63DA4" w:rsidRDefault="002D428F" w:rsidP="002D428F">
      <w:pPr>
        <w:autoSpaceDE w:val="0"/>
        <w:jc w:val="both"/>
      </w:pPr>
    </w:p>
    <w:p w:rsidR="002D428F" w:rsidRPr="00D63DA4" w:rsidRDefault="002D428F" w:rsidP="002D428F">
      <w:pPr>
        <w:autoSpaceDE w:val="0"/>
        <w:jc w:val="both"/>
      </w:pPr>
      <w:r w:rsidRPr="00D63DA4">
        <w:t>Having considered the aforementioned complaints, introduced pursuant to Section 1.2 of UNMIK Regulation No. 2006/12 of 23 March 2006 on the establishment of the Human Rights Advisory Panel,</w:t>
      </w:r>
    </w:p>
    <w:p w:rsidR="002D428F" w:rsidRPr="00D63DA4" w:rsidRDefault="002D428F" w:rsidP="002D428F">
      <w:pPr>
        <w:autoSpaceDE w:val="0"/>
        <w:jc w:val="both"/>
      </w:pPr>
    </w:p>
    <w:p w:rsidR="002D428F" w:rsidRPr="00D63DA4" w:rsidRDefault="002D428F" w:rsidP="002D428F">
      <w:pPr>
        <w:autoSpaceDE w:val="0"/>
        <w:jc w:val="both"/>
      </w:pPr>
      <w:r w:rsidRPr="00D63DA4">
        <w:t>Having deliberated, including through electronic means, in accordance with Rule 13 § 2 of its Rules of Procedure, makes the following findings and recommendations:</w:t>
      </w:r>
    </w:p>
    <w:p w:rsidR="00EC2041" w:rsidRPr="00D63DA4" w:rsidRDefault="00EC2041" w:rsidP="00301DAC">
      <w:pPr>
        <w:autoSpaceDE w:val="0"/>
        <w:jc w:val="both"/>
        <w:rPr>
          <w:lang w:val="en-GB"/>
        </w:rPr>
      </w:pPr>
    </w:p>
    <w:p w:rsidR="00022E69" w:rsidRPr="00D63DA4" w:rsidRDefault="00022E69" w:rsidP="000F7E70">
      <w:pPr>
        <w:autoSpaceDE w:val="0"/>
        <w:jc w:val="both"/>
        <w:rPr>
          <w:lang w:val="en-GB"/>
        </w:rPr>
      </w:pPr>
    </w:p>
    <w:p w:rsidR="0016154E" w:rsidRPr="00D63DA4" w:rsidRDefault="0016154E" w:rsidP="00B50188">
      <w:pPr>
        <w:numPr>
          <w:ilvl w:val="0"/>
          <w:numId w:val="1"/>
        </w:numPr>
        <w:suppressAutoHyphens/>
        <w:autoSpaceDE w:val="0"/>
        <w:ind w:left="360" w:hanging="360"/>
        <w:jc w:val="both"/>
        <w:rPr>
          <w:b/>
          <w:bCs/>
          <w:lang w:val="en-GB"/>
        </w:rPr>
      </w:pPr>
      <w:r w:rsidRPr="00D63DA4">
        <w:rPr>
          <w:b/>
          <w:bCs/>
          <w:lang w:val="en-GB"/>
        </w:rPr>
        <w:t>PROCEEDINGS BEFORE THE PANEL</w:t>
      </w:r>
    </w:p>
    <w:p w:rsidR="00E327E1" w:rsidRPr="00D63DA4" w:rsidRDefault="00E327E1" w:rsidP="00E327E1">
      <w:pPr>
        <w:pStyle w:val="Default"/>
        <w:ind w:left="360"/>
        <w:jc w:val="both"/>
        <w:rPr>
          <w:color w:val="auto"/>
          <w:lang w:val="en-GB"/>
        </w:rPr>
      </w:pPr>
    </w:p>
    <w:p w:rsidR="00647FB1" w:rsidRPr="00D63DA4" w:rsidRDefault="00647FB1" w:rsidP="00647FB1">
      <w:pPr>
        <w:pStyle w:val="Default"/>
        <w:numPr>
          <w:ilvl w:val="0"/>
          <w:numId w:val="2"/>
        </w:numPr>
        <w:jc w:val="both"/>
        <w:rPr>
          <w:lang w:val="en-GB"/>
        </w:rPr>
      </w:pPr>
      <w:r w:rsidRPr="00D63DA4">
        <w:rPr>
          <w:lang w:val="en-GB"/>
        </w:rPr>
        <w:t>The complaint</w:t>
      </w:r>
      <w:r w:rsidR="009D27AD" w:rsidRPr="00D63DA4">
        <w:rPr>
          <w:lang w:val="en-GB"/>
        </w:rPr>
        <w:t xml:space="preserve"> was introduced on </w:t>
      </w:r>
      <w:r w:rsidR="00BF3546" w:rsidRPr="00D63DA4">
        <w:rPr>
          <w:lang w:val="en-GB"/>
        </w:rPr>
        <w:t xml:space="preserve">8 </w:t>
      </w:r>
      <w:r w:rsidR="00F13DE4" w:rsidRPr="00D63DA4">
        <w:rPr>
          <w:lang w:val="en-GB"/>
        </w:rPr>
        <w:t>April 2009 and registered on 30 April 2009</w:t>
      </w:r>
      <w:r w:rsidRPr="00D63DA4">
        <w:rPr>
          <w:lang w:val="en-GB"/>
        </w:rPr>
        <w:t xml:space="preserve">. </w:t>
      </w:r>
    </w:p>
    <w:p w:rsidR="00647FB1" w:rsidRPr="00D63DA4" w:rsidRDefault="00647FB1" w:rsidP="00C45577">
      <w:pPr>
        <w:pStyle w:val="Default"/>
        <w:jc w:val="both"/>
        <w:rPr>
          <w:lang w:val="en-GB"/>
        </w:rPr>
      </w:pPr>
    </w:p>
    <w:p w:rsidR="002948A6" w:rsidRPr="00D63DA4" w:rsidRDefault="002948A6" w:rsidP="002948A6">
      <w:pPr>
        <w:pStyle w:val="Default"/>
        <w:numPr>
          <w:ilvl w:val="0"/>
          <w:numId w:val="2"/>
        </w:numPr>
        <w:jc w:val="both"/>
        <w:rPr>
          <w:lang w:val="en-GB"/>
        </w:rPr>
      </w:pPr>
      <w:r w:rsidRPr="00D63DA4">
        <w:rPr>
          <w:lang w:val="en-GB"/>
        </w:rPr>
        <w:t xml:space="preserve">On 23 </w:t>
      </w:r>
      <w:r w:rsidR="00BF3546" w:rsidRPr="00D63DA4">
        <w:rPr>
          <w:lang w:val="en-GB"/>
        </w:rPr>
        <w:t>December 2009</w:t>
      </w:r>
      <w:r w:rsidRPr="00D63DA4">
        <w:rPr>
          <w:lang w:val="en-GB"/>
        </w:rPr>
        <w:t>,</w:t>
      </w:r>
      <w:r w:rsidR="00BF3546" w:rsidRPr="00D63DA4">
        <w:rPr>
          <w:lang w:val="en-GB"/>
        </w:rPr>
        <w:t xml:space="preserve"> the Panel requested further information from the complainant. On 22</w:t>
      </w:r>
      <w:r w:rsidRPr="00D63DA4">
        <w:rPr>
          <w:lang w:val="en-GB"/>
        </w:rPr>
        <w:t xml:space="preserve"> </w:t>
      </w:r>
      <w:r w:rsidR="00BF3546" w:rsidRPr="00D63DA4">
        <w:rPr>
          <w:lang w:val="en-GB"/>
        </w:rPr>
        <w:t>April 2010</w:t>
      </w:r>
      <w:r w:rsidRPr="00D63DA4">
        <w:rPr>
          <w:lang w:val="en-GB"/>
        </w:rPr>
        <w:t xml:space="preserve">, the Panel received the complainant’s response. </w:t>
      </w:r>
    </w:p>
    <w:p w:rsidR="002E0AF3" w:rsidRPr="00D63DA4" w:rsidRDefault="002E0AF3" w:rsidP="002E0AF3">
      <w:pPr>
        <w:pStyle w:val="Default"/>
        <w:jc w:val="both"/>
        <w:rPr>
          <w:lang w:val="en-GB"/>
        </w:rPr>
      </w:pPr>
    </w:p>
    <w:p w:rsidR="002E0AF3" w:rsidRPr="00D63DA4" w:rsidRDefault="009D27AD" w:rsidP="00284A77">
      <w:pPr>
        <w:numPr>
          <w:ilvl w:val="0"/>
          <w:numId w:val="2"/>
        </w:numPr>
        <w:jc w:val="both"/>
        <w:rPr>
          <w:b/>
          <w:lang w:val="en-GB"/>
        </w:rPr>
      </w:pPr>
      <w:r w:rsidRPr="00D63DA4">
        <w:rPr>
          <w:lang w:val="en-GB"/>
        </w:rPr>
        <w:t xml:space="preserve">On </w:t>
      </w:r>
      <w:r w:rsidR="00BF3546" w:rsidRPr="00D63DA4">
        <w:rPr>
          <w:lang w:val="en-GB"/>
        </w:rPr>
        <w:t>2 February 2012</w:t>
      </w:r>
      <w:r w:rsidR="002E0AF3" w:rsidRPr="00D63DA4">
        <w:rPr>
          <w:lang w:val="en-GB"/>
        </w:rPr>
        <w:t>, the complaint was communicated to the Special Representative of the Secretary-General (SRSG)</w:t>
      </w:r>
      <w:r w:rsidR="00022E69" w:rsidRPr="00D63DA4">
        <w:rPr>
          <w:rStyle w:val="FootnoteReference"/>
          <w:lang w:val="en-GB"/>
        </w:rPr>
        <w:footnoteReference w:id="1"/>
      </w:r>
      <w:r w:rsidR="002E0AF3" w:rsidRPr="00D63DA4">
        <w:rPr>
          <w:lang w:val="en-GB"/>
        </w:rPr>
        <w:t>, for UNMIK’s comments on the admi</w:t>
      </w:r>
      <w:r w:rsidR="00647FB1" w:rsidRPr="00D63DA4">
        <w:rPr>
          <w:lang w:val="en-GB"/>
        </w:rPr>
        <w:t xml:space="preserve">ssibility of the complaint. </w:t>
      </w:r>
      <w:r w:rsidR="00BF3546" w:rsidRPr="00D63DA4">
        <w:rPr>
          <w:lang w:val="en-GB"/>
        </w:rPr>
        <w:t>On 2 March 2012</w:t>
      </w:r>
      <w:r w:rsidR="002E0AF3" w:rsidRPr="00D63DA4">
        <w:rPr>
          <w:lang w:val="en-GB"/>
        </w:rPr>
        <w:t xml:space="preserve">, </w:t>
      </w:r>
      <w:r w:rsidR="00E35F59" w:rsidRPr="00D63DA4">
        <w:rPr>
          <w:lang w:val="en-GB"/>
        </w:rPr>
        <w:t>the SRSG submitted UNMIK’s</w:t>
      </w:r>
      <w:r w:rsidR="002E0AF3" w:rsidRPr="00D63DA4">
        <w:rPr>
          <w:lang w:val="en-GB"/>
        </w:rPr>
        <w:t xml:space="preserve"> response. </w:t>
      </w:r>
    </w:p>
    <w:p w:rsidR="00E327E1" w:rsidRPr="00D63DA4" w:rsidRDefault="00E327E1" w:rsidP="00647FB1">
      <w:pPr>
        <w:rPr>
          <w:lang w:val="en-GB"/>
        </w:rPr>
      </w:pPr>
    </w:p>
    <w:p w:rsidR="00E327E1" w:rsidRPr="00D63DA4" w:rsidRDefault="00E327E1" w:rsidP="00B50188">
      <w:pPr>
        <w:numPr>
          <w:ilvl w:val="0"/>
          <w:numId w:val="2"/>
        </w:numPr>
        <w:jc w:val="both"/>
        <w:rPr>
          <w:b/>
          <w:lang w:val="en-GB"/>
        </w:rPr>
      </w:pPr>
      <w:r w:rsidRPr="00D63DA4">
        <w:rPr>
          <w:lang w:val="en-GB"/>
        </w:rPr>
        <w:t xml:space="preserve">On </w:t>
      </w:r>
      <w:r w:rsidR="002948A6" w:rsidRPr="00D63DA4">
        <w:rPr>
          <w:lang w:val="en-GB"/>
        </w:rPr>
        <w:t>1</w:t>
      </w:r>
      <w:r w:rsidR="00BF3546" w:rsidRPr="00D63DA4">
        <w:rPr>
          <w:lang w:val="en-GB"/>
        </w:rPr>
        <w:t>0</w:t>
      </w:r>
      <w:r w:rsidR="002948A6" w:rsidRPr="00D63DA4">
        <w:rPr>
          <w:lang w:val="en-GB"/>
        </w:rPr>
        <w:t xml:space="preserve"> May</w:t>
      </w:r>
      <w:r w:rsidR="00647FB1" w:rsidRPr="00D63DA4">
        <w:rPr>
          <w:lang w:val="en-GB"/>
        </w:rPr>
        <w:t xml:space="preserve"> </w:t>
      </w:r>
      <w:r w:rsidRPr="00D63DA4">
        <w:rPr>
          <w:lang w:val="en-GB"/>
        </w:rPr>
        <w:t>201</w:t>
      </w:r>
      <w:r w:rsidR="00BF3546" w:rsidRPr="00D63DA4">
        <w:rPr>
          <w:lang w:val="en-GB"/>
        </w:rPr>
        <w:t>2</w:t>
      </w:r>
      <w:r w:rsidRPr="00D63DA4">
        <w:rPr>
          <w:lang w:val="en-GB"/>
        </w:rPr>
        <w:t>, t</w:t>
      </w:r>
      <w:r w:rsidR="007766DD" w:rsidRPr="00D63DA4">
        <w:rPr>
          <w:lang w:val="en-GB"/>
        </w:rPr>
        <w:t>he Panel declared the complaint</w:t>
      </w:r>
      <w:r w:rsidRPr="00D63DA4">
        <w:rPr>
          <w:lang w:val="en-GB"/>
        </w:rPr>
        <w:t xml:space="preserve"> admissible</w:t>
      </w:r>
      <w:r w:rsidR="004865D9" w:rsidRPr="00D63DA4">
        <w:t>.</w:t>
      </w:r>
    </w:p>
    <w:p w:rsidR="00E327E1" w:rsidRPr="00D63DA4" w:rsidRDefault="00E327E1" w:rsidP="00E327E1">
      <w:pPr>
        <w:pStyle w:val="Default"/>
        <w:ind w:left="360"/>
        <w:jc w:val="both"/>
        <w:rPr>
          <w:color w:val="auto"/>
          <w:lang w:val="en-GB"/>
        </w:rPr>
      </w:pPr>
    </w:p>
    <w:p w:rsidR="00672847" w:rsidRPr="00D63DA4" w:rsidRDefault="00F855B3" w:rsidP="00BF3546">
      <w:pPr>
        <w:widowControl w:val="0"/>
        <w:numPr>
          <w:ilvl w:val="0"/>
          <w:numId w:val="2"/>
        </w:numPr>
        <w:tabs>
          <w:tab w:val="left" w:pos="1080"/>
        </w:tabs>
        <w:suppressAutoHyphens/>
        <w:jc w:val="both"/>
        <w:rPr>
          <w:lang w:val="en-GB"/>
        </w:rPr>
      </w:pPr>
      <w:r w:rsidRPr="00D63DA4">
        <w:rPr>
          <w:lang w:val="en-GB"/>
        </w:rPr>
        <w:t xml:space="preserve">On </w:t>
      </w:r>
      <w:r w:rsidR="00BF3546" w:rsidRPr="00D63DA4">
        <w:rPr>
          <w:lang w:val="en-GB"/>
        </w:rPr>
        <w:t>17</w:t>
      </w:r>
      <w:r w:rsidR="00ED668C" w:rsidRPr="00D63DA4">
        <w:rPr>
          <w:lang w:val="en-GB"/>
        </w:rPr>
        <w:t xml:space="preserve"> </w:t>
      </w:r>
      <w:r w:rsidR="002948A6" w:rsidRPr="00D63DA4">
        <w:rPr>
          <w:lang w:val="en-GB"/>
        </w:rPr>
        <w:t>May</w:t>
      </w:r>
      <w:r w:rsidR="00647FB1" w:rsidRPr="00D63DA4">
        <w:rPr>
          <w:lang w:val="en-GB"/>
        </w:rPr>
        <w:t xml:space="preserve"> </w:t>
      </w:r>
      <w:r w:rsidR="00E327E1" w:rsidRPr="00D63DA4">
        <w:rPr>
          <w:lang w:val="en-GB"/>
        </w:rPr>
        <w:t>201</w:t>
      </w:r>
      <w:r w:rsidR="00ED668C" w:rsidRPr="00D63DA4">
        <w:rPr>
          <w:lang w:val="en-GB"/>
        </w:rPr>
        <w:t>2</w:t>
      </w:r>
      <w:r w:rsidR="00E327E1" w:rsidRPr="00D63DA4">
        <w:rPr>
          <w:lang w:val="en-GB"/>
        </w:rPr>
        <w:t xml:space="preserve">, </w:t>
      </w:r>
      <w:r w:rsidRPr="00D63DA4">
        <w:rPr>
          <w:lang w:val="en-GB"/>
        </w:rPr>
        <w:t>the Panel forwarded its decision to the SRSG requesting UNMIK’s comments on the merits of the complaint</w:t>
      </w:r>
      <w:r w:rsidR="00672847" w:rsidRPr="00D63DA4">
        <w:rPr>
          <w:lang w:val="en-GB"/>
        </w:rPr>
        <w:t>, as well as copies of the investigative files relevant to the case.</w:t>
      </w:r>
      <w:r w:rsidR="00BF3546" w:rsidRPr="00D63DA4">
        <w:rPr>
          <w:lang w:val="en-GB"/>
        </w:rPr>
        <w:t xml:space="preserve"> On 4</w:t>
      </w:r>
      <w:r w:rsidR="002948A6" w:rsidRPr="00D63DA4">
        <w:rPr>
          <w:lang w:val="en-GB"/>
        </w:rPr>
        <w:t xml:space="preserve"> </w:t>
      </w:r>
      <w:r w:rsidR="00BF3546" w:rsidRPr="00D63DA4">
        <w:rPr>
          <w:lang w:val="en-GB"/>
        </w:rPr>
        <w:t xml:space="preserve">April 2013, </w:t>
      </w:r>
      <w:r w:rsidR="00CC6B19" w:rsidRPr="00D63DA4">
        <w:rPr>
          <w:lang w:val="en-GB"/>
        </w:rPr>
        <w:t>the SRSG provided UNMIK’s comments</w:t>
      </w:r>
      <w:r w:rsidR="009F6CF5" w:rsidRPr="00D63DA4">
        <w:rPr>
          <w:lang w:val="en-GB"/>
        </w:rPr>
        <w:t xml:space="preserve"> on the merits of the </w:t>
      </w:r>
      <w:r w:rsidR="00672847" w:rsidRPr="00D63DA4">
        <w:rPr>
          <w:lang w:val="en-GB"/>
        </w:rPr>
        <w:t xml:space="preserve">complaint, </w:t>
      </w:r>
      <w:r w:rsidR="00BF3546" w:rsidRPr="00D63DA4">
        <w:rPr>
          <w:lang w:val="en-GB"/>
        </w:rPr>
        <w:t>together with</w:t>
      </w:r>
      <w:r w:rsidR="002948A6" w:rsidRPr="00D63DA4">
        <w:rPr>
          <w:lang w:val="en-GB"/>
        </w:rPr>
        <w:t xml:space="preserve"> </w:t>
      </w:r>
      <w:r w:rsidR="00BF3546" w:rsidRPr="00D63DA4">
        <w:rPr>
          <w:lang w:val="en-GB"/>
        </w:rPr>
        <w:t>the relevant documentation</w:t>
      </w:r>
      <w:r w:rsidR="00CC6B19" w:rsidRPr="00D63DA4">
        <w:rPr>
          <w:lang w:val="en-GB"/>
        </w:rPr>
        <w:t>.</w:t>
      </w:r>
    </w:p>
    <w:p w:rsidR="00CE1F33" w:rsidRPr="00D63DA4" w:rsidRDefault="00CE1F33" w:rsidP="00CE1F33">
      <w:pPr>
        <w:pStyle w:val="ListParagraph"/>
        <w:rPr>
          <w:lang w:val="en-GB"/>
        </w:rPr>
      </w:pPr>
    </w:p>
    <w:p w:rsidR="00CE1F33" w:rsidRPr="00D63DA4" w:rsidRDefault="00647FB1" w:rsidP="00B50188">
      <w:pPr>
        <w:pStyle w:val="Default"/>
        <w:numPr>
          <w:ilvl w:val="0"/>
          <w:numId w:val="2"/>
        </w:numPr>
        <w:jc w:val="both"/>
        <w:rPr>
          <w:color w:val="auto"/>
          <w:lang w:val="en-GB"/>
        </w:rPr>
      </w:pPr>
      <w:bookmarkStart w:id="1" w:name="_Ref373944367"/>
      <w:r w:rsidRPr="00D63DA4">
        <w:rPr>
          <w:color w:val="auto"/>
          <w:lang w:val="en-GB"/>
        </w:rPr>
        <w:t xml:space="preserve">On </w:t>
      </w:r>
      <w:r w:rsidR="002948A6" w:rsidRPr="00D63DA4">
        <w:rPr>
          <w:color w:val="auto"/>
          <w:lang w:val="en-GB"/>
        </w:rPr>
        <w:t>14</w:t>
      </w:r>
      <w:r w:rsidR="00EF14C3" w:rsidRPr="00D63DA4">
        <w:rPr>
          <w:color w:val="auto"/>
          <w:lang w:val="en-GB"/>
        </w:rPr>
        <w:t xml:space="preserve"> </w:t>
      </w:r>
      <w:r w:rsidR="002948A6" w:rsidRPr="00D63DA4">
        <w:rPr>
          <w:color w:val="auto"/>
          <w:lang w:val="en-GB"/>
        </w:rPr>
        <w:t xml:space="preserve">August </w:t>
      </w:r>
      <w:r w:rsidR="00ED668C" w:rsidRPr="00D63DA4">
        <w:rPr>
          <w:color w:val="auto"/>
          <w:lang w:val="en-GB"/>
        </w:rPr>
        <w:t>2014</w:t>
      </w:r>
      <w:r w:rsidR="00CE1F33" w:rsidRPr="00D63DA4">
        <w:rPr>
          <w:color w:val="auto"/>
          <w:lang w:val="en-GB"/>
        </w:rPr>
        <w:t>, the Pa</w:t>
      </w:r>
      <w:r w:rsidR="00764FB4" w:rsidRPr="00D63DA4">
        <w:rPr>
          <w:color w:val="auto"/>
          <w:lang w:val="en-GB"/>
        </w:rPr>
        <w:t>nel requested UNMIK to confirm i</w:t>
      </w:r>
      <w:r w:rsidR="00CE1F33" w:rsidRPr="00D63DA4">
        <w:rPr>
          <w:color w:val="auto"/>
          <w:lang w:val="en-GB"/>
        </w:rPr>
        <w:t>f the disclosure of files concerning the case could be considered final.</w:t>
      </w:r>
      <w:r w:rsidR="00121E9E" w:rsidRPr="00D63DA4">
        <w:rPr>
          <w:color w:val="auto"/>
          <w:lang w:val="en-GB"/>
        </w:rPr>
        <w:t xml:space="preserve"> </w:t>
      </w:r>
      <w:bookmarkStart w:id="2" w:name="_Ref368060542"/>
      <w:r w:rsidR="002948A6" w:rsidRPr="00D63DA4">
        <w:rPr>
          <w:color w:val="auto"/>
          <w:lang w:val="en-GB"/>
        </w:rPr>
        <w:t>On 15 August 2014</w:t>
      </w:r>
      <w:r w:rsidR="00CE1F33" w:rsidRPr="00D63DA4">
        <w:rPr>
          <w:color w:val="auto"/>
          <w:lang w:val="en-GB"/>
        </w:rPr>
        <w:t>, UNMIK provided its response</w:t>
      </w:r>
      <w:bookmarkEnd w:id="1"/>
      <w:bookmarkEnd w:id="2"/>
      <w:r w:rsidR="002948A6" w:rsidRPr="00D63DA4">
        <w:rPr>
          <w:color w:val="auto"/>
          <w:lang w:val="en-GB"/>
        </w:rPr>
        <w:t>.</w:t>
      </w:r>
    </w:p>
    <w:p w:rsidR="00121E9E" w:rsidRPr="00D63DA4" w:rsidRDefault="00121E9E" w:rsidP="001F3C32">
      <w:pPr>
        <w:rPr>
          <w:lang w:val="en-GB"/>
        </w:rPr>
      </w:pPr>
    </w:p>
    <w:p w:rsidR="00121E9E" w:rsidRPr="00D63DA4" w:rsidRDefault="00121E9E" w:rsidP="008766C9">
      <w:pPr>
        <w:pStyle w:val="ListParagraph"/>
        <w:rPr>
          <w:lang w:val="en-GB"/>
        </w:rPr>
      </w:pPr>
    </w:p>
    <w:p w:rsidR="000F6E16" w:rsidRPr="00D63DA4" w:rsidRDefault="007C65E0" w:rsidP="00B50188">
      <w:pPr>
        <w:numPr>
          <w:ilvl w:val="0"/>
          <w:numId w:val="1"/>
        </w:numPr>
        <w:suppressAutoHyphens/>
        <w:autoSpaceDE w:val="0"/>
        <w:ind w:left="360" w:hanging="360"/>
        <w:jc w:val="both"/>
        <w:rPr>
          <w:b/>
          <w:bCs/>
          <w:lang w:val="en-GB"/>
        </w:rPr>
      </w:pPr>
      <w:r w:rsidRPr="00D63DA4">
        <w:rPr>
          <w:b/>
          <w:bCs/>
          <w:lang w:val="en-GB"/>
        </w:rPr>
        <w:t>THE FACTS</w:t>
      </w:r>
    </w:p>
    <w:p w:rsidR="000F6E16" w:rsidRPr="00D63DA4" w:rsidRDefault="000F6E16" w:rsidP="000F6E16">
      <w:pPr>
        <w:suppressAutoHyphens/>
        <w:autoSpaceDE w:val="0"/>
        <w:ind w:left="360"/>
        <w:jc w:val="both"/>
        <w:rPr>
          <w:b/>
          <w:bCs/>
          <w:lang w:val="en-GB"/>
        </w:rPr>
      </w:pPr>
    </w:p>
    <w:p w:rsidR="00680EF0" w:rsidRPr="00D63DA4" w:rsidRDefault="00680EF0" w:rsidP="00B50188">
      <w:pPr>
        <w:numPr>
          <w:ilvl w:val="0"/>
          <w:numId w:val="3"/>
        </w:numPr>
        <w:contextualSpacing/>
        <w:jc w:val="both"/>
        <w:rPr>
          <w:b/>
          <w:lang w:val="en-GB"/>
        </w:rPr>
      </w:pPr>
      <w:r w:rsidRPr="00D63DA4">
        <w:rPr>
          <w:b/>
          <w:lang w:val="en-GB"/>
        </w:rPr>
        <w:t>General background</w:t>
      </w:r>
      <w:r w:rsidRPr="00D63DA4">
        <w:rPr>
          <w:rStyle w:val="FootnoteReference"/>
          <w:b/>
          <w:lang w:val="en-GB"/>
        </w:rPr>
        <w:footnoteReference w:id="2"/>
      </w:r>
      <w:r w:rsidRPr="00D63DA4">
        <w:rPr>
          <w:b/>
          <w:lang w:val="en-GB"/>
        </w:rPr>
        <w:t xml:space="preserve"> </w:t>
      </w:r>
    </w:p>
    <w:p w:rsidR="00680EF0" w:rsidRPr="00D63DA4" w:rsidRDefault="00680EF0" w:rsidP="00680EF0">
      <w:pPr>
        <w:ind w:left="360"/>
        <w:contextualSpacing/>
        <w:jc w:val="both"/>
        <w:rPr>
          <w:b/>
          <w:lang w:val="en-GB"/>
        </w:rPr>
      </w:pPr>
    </w:p>
    <w:p w:rsidR="00574094" w:rsidRPr="00D63DA4" w:rsidRDefault="00574094" w:rsidP="00574094">
      <w:pPr>
        <w:pStyle w:val="ListParagraph"/>
        <w:numPr>
          <w:ilvl w:val="0"/>
          <w:numId w:val="2"/>
        </w:numPr>
        <w:jc w:val="both"/>
        <w:rPr>
          <w:lang w:val="en-GB"/>
        </w:rPr>
      </w:pPr>
      <w:r w:rsidRPr="00D63DA4">
        <w:rPr>
          <w:lang w:val="en-GB"/>
        </w:rPr>
        <w:t>The events at issue took place in the territory of Kosovo</w:t>
      </w:r>
      <w:r w:rsidR="002948A6" w:rsidRPr="00D63DA4">
        <w:rPr>
          <w:lang w:val="en-GB"/>
        </w:rPr>
        <w:t xml:space="preserve"> </w:t>
      </w:r>
      <w:r w:rsidR="00BF3546" w:rsidRPr="00D63DA4">
        <w:rPr>
          <w:lang w:val="en-GB"/>
        </w:rPr>
        <w:t>shortly</w:t>
      </w:r>
      <w:r w:rsidRPr="00D63DA4">
        <w:rPr>
          <w:lang w:val="en-GB"/>
        </w:rPr>
        <w:t xml:space="preserve"> after the establishment in June 1999 of the United Nations Interim Administration Mission in Kosovo (UNMIK).</w:t>
      </w:r>
    </w:p>
    <w:p w:rsidR="00C75A82" w:rsidRPr="00D63DA4" w:rsidRDefault="00C75A82" w:rsidP="00C75A82">
      <w:pPr>
        <w:tabs>
          <w:tab w:val="left" w:pos="360"/>
        </w:tabs>
        <w:ind w:left="360" w:hanging="360"/>
        <w:jc w:val="both"/>
        <w:rPr>
          <w:lang w:val="en-GB"/>
        </w:rPr>
      </w:pPr>
    </w:p>
    <w:p w:rsidR="00C75A82" w:rsidRPr="00D63DA4" w:rsidRDefault="00C75A82" w:rsidP="00B50188">
      <w:pPr>
        <w:widowControl w:val="0"/>
        <w:numPr>
          <w:ilvl w:val="0"/>
          <w:numId w:val="2"/>
        </w:numPr>
        <w:tabs>
          <w:tab w:val="left" w:pos="1080"/>
        </w:tabs>
        <w:suppressAutoHyphens/>
        <w:jc w:val="both"/>
        <w:rPr>
          <w:lang w:val="en-GB"/>
        </w:rPr>
      </w:pPr>
      <w:r w:rsidRPr="00D63DA4">
        <w:rPr>
          <w:lang w:val="en-GB"/>
        </w:rPr>
        <w:t xml:space="preserve">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w:t>
      </w:r>
      <w:r w:rsidRPr="00D63DA4">
        <w:rPr>
          <w:lang w:val="en-GB"/>
        </w:rPr>
        <w:lastRenderedPageBreak/>
        <w:t>security force following an appropriate UN Security Council Resolution.</w:t>
      </w:r>
    </w:p>
    <w:p w:rsidR="00C75A82" w:rsidRPr="00D63DA4" w:rsidRDefault="00C75A82" w:rsidP="00C75A82">
      <w:pPr>
        <w:tabs>
          <w:tab w:val="left" w:pos="360"/>
        </w:tabs>
        <w:ind w:left="360" w:hanging="360"/>
        <w:jc w:val="both"/>
        <w:rPr>
          <w:lang w:val="en-GB"/>
        </w:rPr>
      </w:pPr>
    </w:p>
    <w:p w:rsidR="00C75A82" w:rsidRPr="00D63DA4" w:rsidRDefault="00FE0FB0" w:rsidP="00FE0FB0">
      <w:pPr>
        <w:pStyle w:val="ListParagraph"/>
        <w:numPr>
          <w:ilvl w:val="0"/>
          <w:numId w:val="2"/>
        </w:numPr>
        <w:suppressAutoHyphens w:val="0"/>
        <w:contextualSpacing/>
        <w:jc w:val="both"/>
        <w:rPr>
          <w:lang w:val="en-GB"/>
        </w:rPr>
      </w:pPr>
      <w:bookmarkStart w:id="3" w:name="_Ref373941473"/>
      <w:r w:rsidRPr="00D63DA4">
        <w:rPr>
          <w:lang w:val="en-GB"/>
        </w:rPr>
        <w:t>O</w:t>
      </w:r>
      <w:r w:rsidR="00C75A82" w:rsidRPr="00D63DA4">
        <w:rPr>
          <w:lang w:val="en-GB"/>
        </w:rPr>
        <w:t>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bookmarkEnd w:id="3"/>
    </w:p>
    <w:p w:rsidR="00C75A82" w:rsidRPr="00D63DA4" w:rsidRDefault="00C75A82" w:rsidP="00C75A82">
      <w:pPr>
        <w:tabs>
          <w:tab w:val="left" w:pos="360"/>
        </w:tabs>
        <w:ind w:left="360" w:hanging="360"/>
        <w:jc w:val="both"/>
        <w:rPr>
          <w:lang w:val="en-GB"/>
        </w:rPr>
      </w:pPr>
    </w:p>
    <w:p w:rsidR="00C75A82" w:rsidRPr="00D63DA4" w:rsidRDefault="00C75A82" w:rsidP="00B50188">
      <w:pPr>
        <w:pStyle w:val="ListParagraph"/>
        <w:numPr>
          <w:ilvl w:val="0"/>
          <w:numId w:val="2"/>
        </w:numPr>
        <w:suppressAutoHyphens w:val="0"/>
        <w:contextualSpacing/>
        <w:jc w:val="both"/>
        <w:rPr>
          <w:lang w:val="en-GB"/>
        </w:rPr>
      </w:pPr>
      <w:r w:rsidRPr="00D63DA4">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C75A82" w:rsidRPr="00D63DA4" w:rsidRDefault="00C75A82" w:rsidP="00C75A82">
      <w:pPr>
        <w:pStyle w:val="ListParagraph"/>
        <w:tabs>
          <w:tab w:val="left" w:pos="360"/>
        </w:tabs>
        <w:ind w:left="360" w:hanging="360"/>
        <w:rPr>
          <w:lang w:val="en-GB"/>
        </w:rPr>
      </w:pPr>
    </w:p>
    <w:p w:rsidR="00C75A82" w:rsidRPr="00D63DA4" w:rsidRDefault="00C75A82" w:rsidP="00B50188">
      <w:pPr>
        <w:pStyle w:val="ListParagraph"/>
        <w:numPr>
          <w:ilvl w:val="0"/>
          <w:numId w:val="2"/>
        </w:numPr>
        <w:suppressAutoHyphens w:val="0"/>
        <w:contextualSpacing/>
        <w:jc w:val="both"/>
        <w:rPr>
          <w:lang w:val="en-GB"/>
        </w:rPr>
      </w:pPr>
      <w:r w:rsidRPr="00D63DA4">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C75A82" w:rsidRPr="00D63DA4" w:rsidRDefault="00C75A82" w:rsidP="00C75A82">
      <w:pPr>
        <w:pStyle w:val="ListParagraph"/>
        <w:tabs>
          <w:tab w:val="left" w:pos="360"/>
        </w:tabs>
        <w:ind w:left="360" w:hanging="360"/>
        <w:rPr>
          <w:lang w:val="en-GB"/>
        </w:rPr>
      </w:pPr>
    </w:p>
    <w:p w:rsidR="00C75A82" w:rsidRPr="00D63DA4" w:rsidRDefault="00C75A82" w:rsidP="00B50188">
      <w:pPr>
        <w:pStyle w:val="ListParagraph"/>
        <w:numPr>
          <w:ilvl w:val="0"/>
          <w:numId w:val="2"/>
        </w:numPr>
        <w:suppressAutoHyphens w:val="0"/>
        <w:contextualSpacing/>
        <w:jc w:val="both"/>
        <w:rPr>
          <w:lang w:val="en-GB"/>
        </w:rPr>
      </w:pPr>
      <w:r w:rsidRPr="00D63DA4">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C75A82" w:rsidRPr="00D63DA4" w:rsidRDefault="00C75A82" w:rsidP="00C75A82">
      <w:pPr>
        <w:tabs>
          <w:tab w:val="left" w:pos="360"/>
        </w:tabs>
        <w:ind w:left="360" w:hanging="360"/>
        <w:jc w:val="both"/>
        <w:rPr>
          <w:lang w:val="en-GB"/>
        </w:rPr>
      </w:pPr>
    </w:p>
    <w:p w:rsidR="00C75A82" w:rsidRPr="00D63DA4" w:rsidRDefault="00C75A82" w:rsidP="00B50188">
      <w:pPr>
        <w:numPr>
          <w:ilvl w:val="0"/>
          <w:numId w:val="2"/>
        </w:numPr>
        <w:jc w:val="both"/>
        <w:rPr>
          <w:lang w:val="en-GB"/>
        </w:rPr>
      </w:pPr>
      <w:r w:rsidRPr="00D63DA4">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w:t>
      </w:r>
      <w:r w:rsidRPr="00D63DA4">
        <w:rPr>
          <w:lang w:val="en-GB"/>
        </w:rPr>
        <w:lastRenderedPageBreak/>
        <w:t xml:space="preserve">development of a Kosovo police service. By September 1999, approximately 1,100 international police officers had been deployed to UNMIK.  </w:t>
      </w:r>
    </w:p>
    <w:p w:rsidR="00C75A82" w:rsidRPr="00D63DA4" w:rsidRDefault="00C75A82" w:rsidP="00C75A82">
      <w:pPr>
        <w:pStyle w:val="ListParagraph"/>
        <w:tabs>
          <w:tab w:val="left" w:pos="360"/>
        </w:tabs>
        <w:ind w:left="360" w:hanging="360"/>
        <w:rPr>
          <w:lang w:val="en-GB"/>
        </w:rPr>
      </w:pPr>
    </w:p>
    <w:p w:rsidR="00C75A82" w:rsidRPr="00D63DA4" w:rsidRDefault="00C75A82" w:rsidP="00B50188">
      <w:pPr>
        <w:numPr>
          <w:ilvl w:val="0"/>
          <w:numId w:val="2"/>
        </w:numPr>
        <w:jc w:val="both"/>
        <w:rPr>
          <w:lang w:val="en-GB"/>
        </w:rPr>
      </w:pPr>
      <w:bookmarkStart w:id="4" w:name="_Ref346725038"/>
      <w:r w:rsidRPr="00D63DA4">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End w:id="4"/>
      <w:r w:rsidRPr="00D63DA4">
        <w:rPr>
          <w:lang w:val="en-GB"/>
        </w:rPr>
        <w:t xml:space="preserve"> </w:t>
      </w:r>
    </w:p>
    <w:p w:rsidR="00C75A82" w:rsidRPr="00D63DA4" w:rsidRDefault="00C75A82" w:rsidP="00C75A82">
      <w:pPr>
        <w:tabs>
          <w:tab w:val="left" w:pos="360"/>
        </w:tabs>
        <w:ind w:left="360" w:hanging="360"/>
        <w:jc w:val="both"/>
        <w:rPr>
          <w:lang w:val="en-GB"/>
        </w:rPr>
      </w:pPr>
    </w:p>
    <w:p w:rsidR="00C75A82" w:rsidRPr="00D63DA4" w:rsidRDefault="00C75A82" w:rsidP="00B50188">
      <w:pPr>
        <w:numPr>
          <w:ilvl w:val="0"/>
          <w:numId w:val="2"/>
        </w:numPr>
        <w:jc w:val="both"/>
        <w:rPr>
          <w:lang w:val="en-GB"/>
        </w:rPr>
      </w:pPr>
      <w:bookmarkStart w:id="5" w:name="_Ref346123767"/>
      <w:r w:rsidRPr="00D63DA4">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5"/>
      <w:r w:rsidRPr="00D63DA4">
        <w:rPr>
          <w:lang w:val="en-GB"/>
        </w:rPr>
        <w:t xml:space="preserve"> </w:t>
      </w:r>
    </w:p>
    <w:p w:rsidR="00C75A82" w:rsidRPr="00D63DA4" w:rsidRDefault="00C75A82" w:rsidP="00C75A82">
      <w:pPr>
        <w:tabs>
          <w:tab w:val="left" w:pos="360"/>
        </w:tabs>
        <w:ind w:left="360" w:hanging="360"/>
        <w:jc w:val="both"/>
        <w:rPr>
          <w:lang w:val="en-GB"/>
        </w:rPr>
      </w:pPr>
    </w:p>
    <w:p w:rsidR="00C75A82" w:rsidRPr="00D63DA4" w:rsidRDefault="00C75A82" w:rsidP="00B50188">
      <w:pPr>
        <w:numPr>
          <w:ilvl w:val="0"/>
          <w:numId w:val="2"/>
        </w:numPr>
        <w:jc w:val="both"/>
        <w:rPr>
          <w:lang w:val="en-GB"/>
        </w:rPr>
      </w:pPr>
      <w:bookmarkStart w:id="6" w:name="_Ref346725040"/>
      <w:r w:rsidRPr="00D63DA4">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D63DA4">
        <w:rPr>
          <w:lang w:val="en-GB"/>
        </w:rPr>
        <w:t>persons</w:t>
      </w:r>
      <w:proofErr w:type="gramEnd"/>
      <w:r w:rsidRPr="00D63DA4">
        <w:rPr>
          <w:lang w:val="en-GB"/>
        </w:rPr>
        <w:t xml:space="preserve"> cases in Kosovo. In May 2000, a Victim Recovery and Identification Commission (VRIC) chaired by UNMIK </w:t>
      </w:r>
      <w:proofErr w:type="gramStart"/>
      <w:r w:rsidRPr="00D63DA4">
        <w:rPr>
          <w:lang w:val="en-GB"/>
        </w:rPr>
        <w:t>was</w:t>
      </w:r>
      <w:proofErr w:type="gramEnd"/>
      <w:r w:rsidRPr="00D63DA4">
        <w:rPr>
          <w:lang w:val="en-GB"/>
        </w:rPr>
        <w:t xml:space="preserve"> created for the recovery, identification and disposition of mortal remains. As of June 2002, the newly established Office on Missing Persons and Forensics (OMPF) in the UNMIK Department of Justice (DOJ) became the sole authority mandated to determine the whereabouts of missing </w:t>
      </w:r>
      <w:proofErr w:type="gramStart"/>
      <w:r w:rsidRPr="00D63DA4">
        <w:rPr>
          <w:lang w:val="en-GB"/>
        </w:rPr>
        <w:t>persons,</w:t>
      </w:r>
      <w:proofErr w:type="gramEnd"/>
      <w:r w:rsidRPr="00D63DA4">
        <w:rPr>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6"/>
      <w:r w:rsidRPr="00D63DA4">
        <w:rPr>
          <w:lang w:val="en-GB"/>
        </w:rPr>
        <w:t xml:space="preserve"> </w:t>
      </w:r>
    </w:p>
    <w:p w:rsidR="00C75A82" w:rsidRPr="00D63DA4" w:rsidRDefault="00C75A82" w:rsidP="00C75A82">
      <w:pPr>
        <w:tabs>
          <w:tab w:val="left" w:pos="360"/>
        </w:tabs>
        <w:ind w:left="360" w:hanging="360"/>
        <w:jc w:val="both"/>
        <w:rPr>
          <w:lang w:val="en-GB"/>
        </w:rPr>
      </w:pPr>
    </w:p>
    <w:p w:rsidR="00C75A82" w:rsidRPr="00D63DA4" w:rsidRDefault="00C75A82" w:rsidP="00B50188">
      <w:pPr>
        <w:numPr>
          <w:ilvl w:val="0"/>
          <w:numId w:val="2"/>
        </w:numPr>
        <w:jc w:val="both"/>
        <w:rPr>
          <w:lang w:val="en-GB"/>
        </w:rPr>
      </w:pPr>
      <w:bookmarkStart w:id="7" w:name="_Ref346123927"/>
      <w:r w:rsidRPr="00D63DA4">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End w:id="7"/>
    </w:p>
    <w:p w:rsidR="00C75A82" w:rsidRPr="00D63DA4" w:rsidRDefault="00C75A82" w:rsidP="00C75A82">
      <w:pPr>
        <w:pStyle w:val="ListParagraph"/>
        <w:tabs>
          <w:tab w:val="left" w:pos="360"/>
        </w:tabs>
        <w:ind w:left="360" w:hanging="360"/>
        <w:rPr>
          <w:lang w:val="en-GB"/>
        </w:rPr>
      </w:pPr>
    </w:p>
    <w:p w:rsidR="00680EF0" w:rsidRPr="00D63DA4" w:rsidRDefault="00C75A82" w:rsidP="00B50188">
      <w:pPr>
        <w:numPr>
          <w:ilvl w:val="0"/>
          <w:numId w:val="2"/>
        </w:numPr>
        <w:jc w:val="both"/>
        <w:rPr>
          <w:lang w:val="en-GB"/>
        </w:rPr>
      </w:pPr>
      <w:bookmarkStart w:id="8" w:name="_Ref346123928"/>
      <w:r w:rsidRPr="00D63DA4">
        <w:rPr>
          <w:lang w:val="en-GB"/>
        </w:rPr>
        <w:t xml:space="preserve">On the same date, UNMIK and EULEX signed a MoU on the modalities, and the respective rights and obligations arising from the transfer from UNMIK to EULEX of cases and the related files which involved on-going investigations, prosecutions and other activities </w:t>
      </w:r>
      <w:r w:rsidRPr="00D63DA4">
        <w:rPr>
          <w:lang w:val="en-GB"/>
        </w:rPr>
        <w:lastRenderedPageBreak/>
        <w:t xml:space="preserve">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4E415C" w:rsidRPr="00D63DA4">
        <w:rPr>
          <w:lang w:val="en-GB"/>
        </w:rPr>
        <w:t xml:space="preserve">supposed to be </w:t>
      </w:r>
      <w:r w:rsidRPr="00D63DA4">
        <w:rPr>
          <w:lang w:val="en-GB"/>
        </w:rPr>
        <w:t>handed over to EULEX.</w:t>
      </w:r>
      <w:bookmarkEnd w:id="8"/>
    </w:p>
    <w:p w:rsidR="00C0731E" w:rsidRPr="00D63DA4" w:rsidRDefault="00C0731E" w:rsidP="00A73D67">
      <w:pPr>
        <w:ind w:left="360"/>
        <w:jc w:val="both"/>
        <w:rPr>
          <w:lang w:val="en-GB"/>
        </w:rPr>
      </w:pPr>
    </w:p>
    <w:p w:rsidR="00647FB1" w:rsidRPr="00D63DA4" w:rsidRDefault="00A73D67" w:rsidP="00647FB1">
      <w:pPr>
        <w:pStyle w:val="ListParagraph"/>
        <w:numPr>
          <w:ilvl w:val="0"/>
          <w:numId w:val="3"/>
        </w:numPr>
        <w:autoSpaceDE w:val="0"/>
        <w:jc w:val="both"/>
        <w:rPr>
          <w:lang w:val="en-GB"/>
        </w:rPr>
      </w:pPr>
      <w:r w:rsidRPr="00D63DA4">
        <w:rPr>
          <w:b/>
          <w:bCs/>
          <w:lang w:val="en-GB"/>
        </w:rPr>
        <w:t xml:space="preserve">Circumstances surrounding the </w:t>
      </w:r>
      <w:r w:rsidR="00D04174" w:rsidRPr="00D63DA4">
        <w:rPr>
          <w:b/>
          <w:bCs/>
          <w:lang w:val="en-GB"/>
        </w:rPr>
        <w:t>abduction and disappearance</w:t>
      </w:r>
      <w:r w:rsidR="00E77C72" w:rsidRPr="00D63DA4">
        <w:rPr>
          <w:b/>
          <w:bCs/>
          <w:lang w:val="en-GB"/>
        </w:rPr>
        <w:t xml:space="preserve"> </w:t>
      </w:r>
      <w:r w:rsidR="00CE1874" w:rsidRPr="00D63DA4">
        <w:rPr>
          <w:b/>
          <w:bCs/>
          <w:lang w:val="en-GB"/>
        </w:rPr>
        <w:t xml:space="preserve">of Mr </w:t>
      </w:r>
      <w:r w:rsidR="00BF3546" w:rsidRPr="00D63DA4">
        <w:rPr>
          <w:b/>
          <w:bCs/>
          <w:lang w:val="en-GB"/>
        </w:rPr>
        <w:t>Momir</w:t>
      </w:r>
      <w:r w:rsidR="002948A6" w:rsidRPr="00D63DA4">
        <w:rPr>
          <w:b/>
          <w:bCs/>
          <w:lang w:val="en-GB"/>
        </w:rPr>
        <w:t xml:space="preserve"> </w:t>
      </w:r>
      <w:r w:rsidR="00BF3546" w:rsidRPr="00D63DA4">
        <w:rPr>
          <w:b/>
          <w:bCs/>
          <w:lang w:val="en-GB"/>
        </w:rPr>
        <w:t>Milenk</w:t>
      </w:r>
      <w:r w:rsidR="002948A6" w:rsidRPr="00D63DA4">
        <w:rPr>
          <w:b/>
          <w:bCs/>
          <w:lang w:val="en-GB"/>
        </w:rPr>
        <w:t>ović</w:t>
      </w:r>
    </w:p>
    <w:p w:rsidR="002948A6" w:rsidRPr="00D63DA4" w:rsidRDefault="002948A6" w:rsidP="002948A6">
      <w:pPr>
        <w:pStyle w:val="ListParagraph"/>
        <w:autoSpaceDE w:val="0"/>
        <w:ind w:left="360"/>
        <w:jc w:val="both"/>
        <w:rPr>
          <w:lang w:val="en-GB"/>
        </w:rPr>
      </w:pPr>
    </w:p>
    <w:p w:rsidR="002948A6" w:rsidRPr="00D63DA4" w:rsidRDefault="002948A6" w:rsidP="002948A6">
      <w:pPr>
        <w:numPr>
          <w:ilvl w:val="0"/>
          <w:numId w:val="2"/>
        </w:numPr>
        <w:jc w:val="both"/>
        <w:rPr>
          <w:lang w:val="en-GB"/>
        </w:rPr>
      </w:pPr>
      <w:r w:rsidRPr="00D63DA4">
        <w:rPr>
          <w:lang w:val="en-GB"/>
        </w:rPr>
        <w:t xml:space="preserve">The complainant is </w:t>
      </w:r>
      <w:r w:rsidR="00BF3546" w:rsidRPr="00D63DA4">
        <w:rPr>
          <w:lang w:val="en-GB"/>
        </w:rPr>
        <w:t>the brother</w:t>
      </w:r>
      <w:r w:rsidRPr="00D63DA4">
        <w:rPr>
          <w:lang w:val="en-GB"/>
        </w:rPr>
        <w:t xml:space="preserve"> of Mr </w:t>
      </w:r>
      <w:r w:rsidR="00BF3546" w:rsidRPr="00D63DA4">
        <w:rPr>
          <w:lang w:val="en-GB"/>
        </w:rPr>
        <w:t>Momir Milenko</w:t>
      </w:r>
      <w:r w:rsidRPr="00D63DA4">
        <w:rPr>
          <w:lang w:val="en-GB"/>
        </w:rPr>
        <w:t>vić.</w:t>
      </w:r>
    </w:p>
    <w:p w:rsidR="002948A6" w:rsidRPr="00D63DA4" w:rsidRDefault="002948A6" w:rsidP="002948A6">
      <w:pPr>
        <w:ind w:left="360"/>
        <w:jc w:val="both"/>
        <w:rPr>
          <w:lang w:val="en-GB"/>
        </w:rPr>
      </w:pPr>
    </w:p>
    <w:p w:rsidR="002948A6" w:rsidRPr="00D63DA4" w:rsidRDefault="002948A6" w:rsidP="00BF3546">
      <w:pPr>
        <w:numPr>
          <w:ilvl w:val="0"/>
          <w:numId w:val="2"/>
        </w:numPr>
        <w:jc w:val="both"/>
        <w:rPr>
          <w:lang w:val="en-GB"/>
        </w:rPr>
      </w:pPr>
      <w:bookmarkStart w:id="9" w:name="_Ref398125447"/>
      <w:r w:rsidRPr="00D63DA4">
        <w:rPr>
          <w:lang w:val="en-GB"/>
        </w:rPr>
        <w:t>The complainant states that</w:t>
      </w:r>
      <w:r w:rsidR="00BF3546" w:rsidRPr="00D63DA4">
        <w:rPr>
          <w:lang w:val="en-GB"/>
        </w:rPr>
        <w:t xml:space="preserve"> on 23 June 1999</w:t>
      </w:r>
      <w:r w:rsidRPr="00D63DA4">
        <w:rPr>
          <w:lang w:val="en-GB"/>
        </w:rPr>
        <w:t xml:space="preserve">, </w:t>
      </w:r>
      <w:r w:rsidR="00BF3546" w:rsidRPr="00D63DA4">
        <w:rPr>
          <w:lang w:val="en-GB"/>
        </w:rPr>
        <w:t xml:space="preserve">a neighbour, B.V., living near the family home of </w:t>
      </w:r>
      <w:r w:rsidR="00BF3546" w:rsidRPr="00D63DA4">
        <w:t>Mr Momir Milenković</w:t>
      </w:r>
      <w:r w:rsidR="00BF3546" w:rsidRPr="00D63DA4">
        <w:rPr>
          <w:lang w:val="en-GB"/>
        </w:rPr>
        <w:t xml:space="preserve"> in </w:t>
      </w:r>
      <w:r w:rsidRPr="00D63DA4">
        <w:rPr>
          <w:lang w:val="en-GB"/>
        </w:rPr>
        <w:t>Prishtinë/Priština</w:t>
      </w:r>
      <w:r w:rsidR="00BF3546" w:rsidRPr="00D63DA4">
        <w:rPr>
          <w:lang w:val="en-GB"/>
        </w:rPr>
        <w:t xml:space="preserve"> entered Mr Momir Milenković’s garden along with four uniformed persons wearing KLA insignia and carrying weapons</w:t>
      </w:r>
      <w:r w:rsidRPr="00D63DA4">
        <w:rPr>
          <w:lang w:val="en-GB"/>
        </w:rPr>
        <w:t xml:space="preserve">. </w:t>
      </w:r>
      <w:r w:rsidR="00BF3546" w:rsidRPr="00D63DA4">
        <w:rPr>
          <w:lang w:val="en-GB"/>
        </w:rPr>
        <w:t>After searching the family home, the uniformed persons forced Mr Momir Milenković into an unmarked black car and drove away. Since that time, his whereabouts have remained unknown.</w:t>
      </w:r>
      <w:bookmarkEnd w:id="9"/>
      <w:r w:rsidR="00BF3546" w:rsidRPr="00D63DA4">
        <w:rPr>
          <w:lang w:val="en-GB"/>
        </w:rPr>
        <w:t xml:space="preserve"> </w:t>
      </w:r>
    </w:p>
    <w:p w:rsidR="00BF3546" w:rsidRPr="00D63DA4" w:rsidRDefault="00BF3546" w:rsidP="00BF3546">
      <w:pPr>
        <w:pStyle w:val="ListParagraph"/>
        <w:rPr>
          <w:lang w:val="en-GB"/>
        </w:rPr>
      </w:pPr>
    </w:p>
    <w:p w:rsidR="00BF3546" w:rsidRPr="00D63DA4" w:rsidRDefault="00BF3546" w:rsidP="00D04174">
      <w:pPr>
        <w:numPr>
          <w:ilvl w:val="0"/>
          <w:numId w:val="2"/>
        </w:numPr>
        <w:jc w:val="both"/>
      </w:pPr>
      <w:r w:rsidRPr="00D63DA4">
        <w:t>The complainant states that the abduction</w:t>
      </w:r>
      <w:r w:rsidR="00D04174" w:rsidRPr="00D63DA4">
        <w:t xml:space="preserve"> and disappearance </w:t>
      </w:r>
      <w:r w:rsidRPr="00D63DA4">
        <w:t xml:space="preserve">was reported to KFOR, UNMIK, the ICRC, the Yugoslav Red Cross, the District Public Prosecutor’s Office in Prishtinë/Priština, the Serbian Ministry of Internal Affairs and the Association of Missing and Kidnapped Persons for Kosovo and Metohija.  </w:t>
      </w:r>
    </w:p>
    <w:p w:rsidR="002948A6" w:rsidRPr="00D63DA4" w:rsidRDefault="002948A6" w:rsidP="00BF3546">
      <w:pPr>
        <w:rPr>
          <w:lang w:val="en-GB"/>
        </w:rPr>
      </w:pPr>
      <w:bookmarkStart w:id="10" w:name="_Ref389154703"/>
    </w:p>
    <w:p w:rsidR="00E35F59" w:rsidRPr="00D63DA4" w:rsidRDefault="00BF3546" w:rsidP="00E35F59">
      <w:pPr>
        <w:numPr>
          <w:ilvl w:val="0"/>
          <w:numId w:val="2"/>
        </w:numPr>
        <w:jc w:val="both"/>
        <w:rPr>
          <w:bCs/>
          <w:lang w:val="en-GB"/>
        </w:rPr>
      </w:pPr>
      <w:r w:rsidRPr="00D63DA4">
        <w:t>On 25 October 2000, the ICRC opened a tracing request for Mr Momir Milenković</w:t>
      </w:r>
      <w:r w:rsidR="00424AA8">
        <w:t xml:space="preserve"> and it remains open</w:t>
      </w:r>
      <w:r w:rsidR="00424AA8">
        <w:rPr>
          <w:rStyle w:val="FootnoteReference"/>
        </w:rPr>
        <w:footnoteReference w:id="3"/>
      </w:r>
      <w:r w:rsidRPr="00D63DA4">
        <w:t xml:space="preserve">. Likewise, his name </w:t>
      </w:r>
      <w:r w:rsidRPr="00D63DA4">
        <w:rPr>
          <w:bCs/>
          <w:lang w:val="en-GB"/>
        </w:rPr>
        <w:t xml:space="preserve">appears in the list of missing persons communicated by the ICRC to UNMIK Police on 11 February 2002, for which ante-mortem data had been collected. </w:t>
      </w:r>
      <w:r w:rsidR="002948A6" w:rsidRPr="00D63DA4">
        <w:rPr>
          <w:lang w:val="en-GB"/>
        </w:rPr>
        <w:t xml:space="preserve">The </w:t>
      </w:r>
      <w:r w:rsidR="00E35F59" w:rsidRPr="00D63DA4">
        <w:rPr>
          <w:lang w:val="en-GB"/>
        </w:rPr>
        <w:t>name</w:t>
      </w:r>
      <w:r w:rsidR="002948A6" w:rsidRPr="00D63DA4">
        <w:rPr>
          <w:lang w:val="en-GB"/>
        </w:rPr>
        <w:t xml:space="preserve"> of </w:t>
      </w:r>
      <w:r w:rsidRPr="00D63DA4">
        <w:t>Mr Momir Milenković</w:t>
      </w:r>
      <w:r w:rsidRPr="00D63DA4">
        <w:rPr>
          <w:lang w:val="en-GB"/>
        </w:rPr>
        <w:t xml:space="preserve"> </w:t>
      </w:r>
      <w:r w:rsidR="002948A6" w:rsidRPr="00D63DA4">
        <w:rPr>
          <w:lang w:val="en-GB"/>
        </w:rPr>
        <w:t>is</w:t>
      </w:r>
      <w:r w:rsidRPr="00D63DA4">
        <w:rPr>
          <w:lang w:val="en-GB"/>
        </w:rPr>
        <w:t xml:space="preserve"> also</w:t>
      </w:r>
      <w:r w:rsidR="00E35F59" w:rsidRPr="00D63DA4">
        <w:rPr>
          <w:lang w:val="en-GB"/>
        </w:rPr>
        <w:t xml:space="preserve"> included in the database compiled by the UNMIK OMPF</w:t>
      </w:r>
      <w:r w:rsidR="00E35F59" w:rsidRPr="00D63DA4">
        <w:rPr>
          <w:rStyle w:val="FootnoteReference"/>
          <w:bCs/>
          <w:lang w:val="en-GB"/>
        </w:rPr>
        <w:footnoteReference w:id="4"/>
      </w:r>
      <w:r w:rsidR="00E35F59" w:rsidRPr="00D63DA4">
        <w:rPr>
          <w:bCs/>
          <w:lang w:val="en-GB"/>
        </w:rPr>
        <w:t xml:space="preserve">. The entry in relation to </w:t>
      </w:r>
      <w:r w:rsidRPr="00D63DA4">
        <w:t>Mr Momir Milenković</w:t>
      </w:r>
      <w:r w:rsidRPr="00D63DA4">
        <w:rPr>
          <w:bCs/>
          <w:lang w:val="en-GB"/>
        </w:rPr>
        <w:t xml:space="preserve"> </w:t>
      </w:r>
      <w:r w:rsidR="00E35F59" w:rsidRPr="00D63DA4">
        <w:rPr>
          <w:bCs/>
          <w:lang w:val="en-GB"/>
        </w:rPr>
        <w:t xml:space="preserve">in the </w:t>
      </w:r>
      <w:r w:rsidR="00E35F59" w:rsidRPr="00D63DA4">
        <w:rPr>
          <w:lang w:val="en-GB"/>
        </w:rPr>
        <w:t>online database maintained by the ICMP</w:t>
      </w:r>
      <w:r w:rsidR="00E35F59" w:rsidRPr="00D63DA4">
        <w:rPr>
          <w:vertAlign w:val="superscript"/>
          <w:lang w:val="en-GB"/>
        </w:rPr>
        <w:footnoteReference w:id="5"/>
      </w:r>
      <w:r w:rsidR="00E35F59" w:rsidRPr="00D63DA4">
        <w:rPr>
          <w:lang w:val="en-GB"/>
        </w:rPr>
        <w:t xml:space="preserve"> gives </w:t>
      </w:r>
      <w:r w:rsidRPr="00D63DA4">
        <w:rPr>
          <w:lang w:val="en-GB"/>
        </w:rPr>
        <w:t>22</w:t>
      </w:r>
      <w:r w:rsidR="002948A6" w:rsidRPr="00D63DA4">
        <w:rPr>
          <w:lang w:val="en-GB"/>
        </w:rPr>
        <w:t xml:space="preserve"> </w:t>
      </w:r>
      <w:r w:rsidRPr="00D63DA4">
        <w:rPr>
          <w:lang w:val="en-GB"/>
        </w:rPr>
        <w:t>June</w:t>
      </w:r>
      <w:r w:rsidR="002948A6" w:rsidRPr="00D63DA4">
        <w:rPr>
          <w:lang w:val="en-GB"/>
        </w:rPr>
        <w:t xml:space="preserve"> </w:t>
      </w:r>
      <w:r w:rsidR="00E35F59" w:rsidRPr="00D63DA4">
        <w:rPr>
          <w:lang w:val="en-GB"/>
        </w:rPr>
        <w:t>1999 as the reported date of disappearance and reads in other relevant fields: “Sufficient Reference Samples Collected” and “</w:t>
      </w:r>
      <w:r w:rsidRPr="00D63DA4">
        <w:rPr>
          <w:lang w:val="en-GB"/>
        </w:rPr>
        <w:t>DNA match not found</w:t>
      </w:r>
      <w:r w:rsidR="00E35F59" w:rsidRPr="00D63DA4">
        <w:rPr>
          <w:lang w:val="en-GB"/>
        </w:rPr>
        <w:t>.</w:t>
      </w:r>
      <w:bookmarkEnd w:id="10"/>
      <w:r w:rsidR="002E04D2" w:rsidRPr="00D63DA4">
        <w:rPr>
          <w:lang w:val="en-GB"/>
        </w:rPr>
        <w:t xml:space="preserve">” </w:t>
      </w:r>
    </w:p>
    <w:p w:rsidR="00D64ACA" w:rsidRPr="00D63DA4" w:rsidRDefault="00D64ACA" w:rsidP="00D64ACA">
      <w:pPr>
        <w:jc w:val="both"/>
      </w:pPr>
    </w:p>
    <w:p w:rsidR="00D64ACA" w:rsidRPr="00D63DA4" w:rsidRDefault="00D64ACA" w:rsidP="00D64ACA">
      <w:pPr>
        <w:jc w:val="both"/>
        <w:rPr>
          <w:lang w:val="en-GB"/>
        </w:rPr>
      </w:pPr>
      <w:r w:rsidRPr="00D63DA4">
        <w:rPr>
          <w:b/>
          <w:lang w:val="en-GB"/>
        </w:rPr>
        <w:t>C. The investigation</w:t>
      </w:r>
    </w:p>
    <w:p w:rsidR="00D64ACA" w:rsidRPr="00D63DA4" w:rsidRDefault="00D64ACA" w:rsidP="00D64ACA">
      <w:pPr>
        <w:pStyle w:val="ListParagraph"/>
        <w:jc w:val="both"/>
        <w:rPr>
          <w:i/>
          <w:lang w:val="en-GB"/>
        </w:rPr>
      </w:pPr>
    </w:p>
    <w:p w:rsidR="00D64ACA" w:rsidRPr="00D63DA4" w:rsidRDefault="00D64ACA" w:rsidP="00DC5B20">
      <w:pPr>
        <w:pStyle w:val="ListParagraph"/>
        <w:ind w:left="0"/>
        <w:jc w:val="both"/>
        <w:rPr>
          <w:i/>
          <w:lang w:val="en-GB"/>
        </w:rPr>
      </w:pPr>
      <w:bookmarkStart w:id="11" w:name="_Ref347322102"/>
      <w:r w:rsidRPr="00D63DA4">
        <w:rPr>
          <w:i/>
          <w:lang w:val="en-GB"/>
        </w:rPr>
        <w:t>Disclosure of relevant files</w:t>
      </w:r>
    </w:p>
    <w:p w:rsidR="00D64ACA" w:rsidRPr="00D63DA4" w:rsidRDefault="00D64ACA" w:rsidP="00D64ACA">
      <w:pPr>
        <w:pStyle w:val="Default"/>
        <w:suppressAutoHyphens/>
        <w:jc w:val="both"/>
        <w:rPr>
          <w:bCs/>
          <w:lang w:val="en-GB"/>
        </w:rPr>
      </w:pPr>
    </w:p>
    <w:p w:rsidR="00D64ACA" w:rsidRPr="00D63DA4" w:rsidRDefault="00D64ACA" w:rsidP="00D64ACA">
      <w:pPr>
        <w:pStyle w:val="Default"/>
        <w:numPr>
          <w:ilvl w:val="0"/>
          <w:numId w:val="2"/>
        </w:numPr>
        <w:tabs>
          <w:tab w:val="left" w:pos="360"/>
        </w:tabs>
        <w:suppressAutoHyphens/>
        <w:jc w:val="both"/>
        <w:rPr>
          <w:bCs/>
          <w:lang w:val="en-GB"/>
        </w:rPr>
      </w:pPr>
      <w:bookmarkStart w:id="12" w:name="_Ref365886120"/>
      <w:r w:rsidRPr="00D63DA4">
        <w:rPr>
          <w:lang w:val="en-GB"/>
        </w:rPr>
        <w:t>On</w:t>
      </w:r>
      <w:bookmarkStart w:id="13" w:name="_Ref348357381"/>
      <w:r w:rsidRPr="00D63DA4">
        <w:rPr>
          <w:lang w:val="en-GB"/>
        </w:rPr>
        <w:t xml:space="preserve"> </w:t>
      </w:r>
      <w:r w:rsidR="00BF3546" w:rsidRPr="00D63DA4">
        <w:rPr>
          <w:color w:val="auto"/>
          <w:lang w:val="en-GB"/>
        </w:rPr>
        <w:t xml:space="preserve">4 </w:t>
      </w:r>
      <w:r w:rsidR="009D27AD" w:rsidRPr="00D63DA4">
        <w:rPr>
          <w:color w:val="auto"/>
          <w:lang w:val="en-GB"/>
        </w:rPr>
        <w:t xml:space="preserve">April </w:t>
      </w:r>
      <w:r w:rsidRPr="00D63DA4">
        <w:rPr>
          <w:color w:val="auto"/>
          <w:lang w:val="en-GB"/>
        </w:rPr>
        <w:t>201</w:t>
      </w:r>
      <w:r w:rsidR="00BF3546" w:rsidRPr="00D63DA4">
        <w:rPr>
          <w:color w:val="auto"/>
          <w:lang w:val="en-GB"/>
        </w:rPr>
        <w:t>3</w:t>
      </w:r>
      <w:r w:rsidRPr="00D63DA4">
        <w:rPr>
          <w:lang w:val="en-GB"/>
        </w:rPr>
        <w:t xml:space="preserve">, </w:t>
      </w:r>
      <w:r w:rsidR="00711C23" w:rsidRPr="00D63DA4">
        <w:rPr>
          <w:bCs/>
          <w:lang w:val="en-GB"/>
        </w:rPr>
        <w:t>UNMIK provided</w:t>
      </w:r>
      <w:r w:rsidR="0080361B" w:rsidRPr="00D63DA4">
        <w:rPr>
          <w:bCs/>
          <w:lang w:val="en-GB"/>
        </w:rPr>
        <w:t xml:space="preserve"> to the Panel</w:t>
      </w:r>
      <w:r w:rsidRPr="00D63DA4">
        <w:rPr>
          <w:bCs/>
          <w:lang w:val="en-GB"/>
        </w:rPr>
        <w:t xml:space="preserve"> documents </w:t>
      </w:r>
      <w:r w:rsidRPr="00D63DA4">
        <w:rPr>
          <w:lang w:val="en-GB"/>
        </w:rPr>
        <w:t xml:space="preserve">which were held previously by the OMPF, </w:t>
      </w:r>
      <w:r w:rsidR="009D27AD" w:rsidRPr="00D63DA4">
        <w:rPr>
          <w:lang w:val="en-GB"/>
        </w:rPr>
        <w:t>MPU</w:t>
      </w:r>
      <w:r w:rsidR="00BF3546" w:rsidRPr="00D63DA4">
        <w:rPr>
          <w:lang w:val="en-GB"/>
        </w:rPr>
        <w:t>, WCIU</w:t>
      </w:r>
      <w:r w:rsidR="009D27AD" w:rsidRPr="00D63DA4">
        <w:rPr>
          <w:lang w:val="en-GB"/>
        </w:rPr>
        <w:t xml:space="preserve"> </w:t>
      </w:r>
      <w:r w:rsidRPr="00D63DA4">
        <w:rPr>
          <w:lang w:val="en-GB"/>
        </w:rPr>
        <w:t xml:space="preserve">and EULEX. On </w:t>
      </w:r>
      <w:r w:rsidR="002948A6" w:rsidRPr="00D63DA4">
        <w:rPr>
          <w:lang w:val="en-GB"/>
        </w:rPr>
        <w:t>15 August 2014</w:t>
      </w:r>
      <w:r w:rsidR="00022E69" w:rsidRPr="00D63DA4">
        <w:rPr>
          <w:lang w:val="en-GB"/>
        </w:rPr>
        <w:t>,</w:t>
      </w:r>
      <w:r w:rsidRPr="00D63DA4">
        <w:rPr>
          <w:lang w:val="en-GB"/>
        </w:rPr>
        <w:t xml:space="preserve"> UNMIK confirmed to the Panel that all files in UNMIK’s possession have been disclosed.</w:t>
      </w:r>
      <w:bookmarkEnd w:id="12"/>
      <w:bookmarkEnd w:id="13"/>
    </w:p>
    <w:p w:rsidR="00D64ACA" w:rsidRPr="00D63DA4" w:rsidRDefault="00D64ACA" w:rsidP="00D64ACA">
      <w:pPr>
        <w:pStyle w:val="Default"/>
        <w:suppressAutoHyphens/>
        <w:ind w:left="360"/>
        <w:jc w:val="both"/>
        <w:rPr>
          <w:bCs/>
          <w:lang w:val="en-GB"/>
        </w:rPr>
      </w:pPr>
    </w:p>
    <w:p w:rsidR="00D64ACA" w:rsidRPr="00D63DA4" w:rsidRDefault="00D64ACA" w:rsidP="00D64ACA">
      <w:pPr>
        <w:widowControl w:val="0"/>
        <w:numPr>
          <w:ilvl w:val="0"/>
          <w:numId w:val="2"/>
        </w:numPr>
        <w:tabs>
          <w:tab w:val="left" w:pos="360"/>
          <w:tab w:val="num" w:pos="630"/>
          <w:tab w:val="left" w:pos="1080"/>
        </w:tabs>
        <w:suppressAutoHyphens/>
        <w:jc w:val="both"/>
        <w:rPr>
          <w:bCs/>
          <w:lang w:val="en-GB"/>
        </w:rPr>
      </w:pPr>
      <w:r w:rsidRPr="00D63DA4">
        <w:rPr>
          <w:lang w:val="en-GB"/>
        </w:rPr>
        <w:t xml:space="preserve">Concerning disclosure of information contained in the files, the Panel recalls that UNMIK has made available investigative files for the Panel’s review under a pledge of </w:t>
      </w:r>
      <w:r w:rsidRPr="00D63DA4">
        <w:rPr>
          <w:lang w:val="en-GB"/>
        </w:rPr>
        <w:lastRenderedPageBreak/>
        <w:t xml:space="preserve">confidentiality. In this regard, the Panel must clarify that although its assessment of the present case stems from a thorough examination of the available documentation, only limited information contained therein is disclosed. Hence a synopsis of relevant investigative steps taken by investigative authorities is provided in the paragraphs to follow.  </w:t>
      </w:r>
    </w:p>
    <w:p w:rsidR="00D64ACA" w:rsidRPr="00D63DA4" w:rsidRDefault="00D64ACA" w:rsidP="00D64ACA">
      <w:pPr>
        <w:pStyle w:val="ListParagraph"/>
        <w:rPr>
          <w:bCs/>
          <w:lang w:val="en-GB"/>
        </w:rPr>
      </w:pPr>
    </w:p>
    <w:p w:rsidR="00D64ACA" w:rsidRPr="00D63DA4" w:rsidRDefault="00BF3546" w:rsidP="00DC5B20">
      <w:pPr>
        <w:pStyle w:val="ListParagraph"/>
        <w:ind w:left="0"/>
        <w:jc w:val="both"/>
        <w:rPr>
          <w:i/>
          <w:lang w:val="en-GB"/>
        </w:rPr>
      </w:pPr>
      <w:r w:rsidRPr="00D63DA4">
        <w:rPr>
          <w:i/>
          <w:lang w:val="en-GB"/>
        </w:rPr>
        <w:t>Files related to the s</w:t>
      </w:r>
      <w:r w:rsidR="00D64ACA" w:rsidRPr="00D63DA4">
        <w:rPr>
          <w:i/>
          <w:lang w:val="en-GB"/>
        </w:rPr>
        <w:t>earch for the victim</w:t>
      </w:r>
    </w:p>
    <w:bookmarkEnd w:id="11"/>
    <w:p w:rsidR="009D27AD" w:rsidRPr="00D63DA4" w:rsidRDefault="009D27AD" w:rsidP="009D27AD">
      <w:pPr>
        <w:jc w:val="both"/>
        <w:rPr>
          <w:lang w:val="en-GB"/>
        </w:rPr>
      </w:pPr>
    </w:p>
    <w:p w:rsidR="002948A6" w:rsidRPr="00D63DA4" w:rsidRDefault="002948A6" w:rsidP="002948A6">
      <w:pPr>
        <w:pStyle w:val="ListParagraph"/>
        <w:widowControl w:val="0"/>
        <w:numPr>
          <w:ilvl w:val="0"/>
          <w:numId w:val="2"/>
        </w:numPr>
        <w:tabs>
          <w:tab w:val="left" w:pos="360"/>
          <w:tab w:val="num" w:pos="630"/>
          <w:tab w:val="left" w:pos="1080"/>
        </w:tabs>
        <w:jc w:val="both"/>
        <w:rPr>
          <w:bCs/>
          <w:lang w:val="en-GB"/>
        </w:rPr>
      </w:pPr>
      <w:bookmarkStart w:id="14" w:name="_Ref397946944"/>
      <w:bookmarkStart w:id="15" w:name="_Ref394589400"/>
      <w:bookmarkStart w:id="16" w:name="_Ref394489616"/>
      <w:bookmarkStart w:id="17" w:name="_Ref384389656"/>
      <w:bookmarkStart w:id="18" w:name="_Ref387228732"/>
      <w:bookmarkStart w:id="19" w:name="_Ref387918075"/>
      <w:r w:rsidRPr="00D63DA4">
        <w:rPr>
          <w:lang w:val="en-GB"/>
        </w:rPr>
        <w:t>The MPU file contains an</w:t>
      </w:r>
      <w:r w:rsidR="00BF3546" w:rsidRPr="00D63DA4">
        <w:rPr>
          <w:lang w:val="en-GB"/>
        </w:rPr>
        <w:t xml:space="preserve"> undated</w:t>
      </w:r>
      <w:r w:rsidRPr="00D63DA4">
        <w:rPr>
          <w:lang w:val="en-GB"/>
        </w:rPr>
        <w:t xml:space="preserve"> Ante-Mor</w:t>
      </w:r>
      <w:r w:rsidR="00BF3546" w:rsidRPr="00D63DA4">
        <w:rPr>
          <w:lang w:val="en-GB"/>
        </w:rPr>
        <w:t>tem Victim Identification Form</w:t>
      </w:r>
      <w:r w:rsidRPr="00D63DA4">
        <w:rPr>
          <w:lang w:val="en-GB"/>
        </w:rPr>
        <w:t>, affixed with the file number 1999-000</w:t>
      </w:r>
      <w:r w:rsidR="00BF3546" w:rsidRPr="00D63DA4">
        <w:rPr>
          <w:lang w:val="en-GB"/>
        </w:rPr>
        <w:t>520</w:t>
      </w:r>
      <w:r w:rsidRPr="00D63DA4">
        <w:rPr>
          <w:lang w:val="en-GB"/>
        </w:rPr>
        <w:t xml:space="preserve">. Besides containing </w:t>
      </w:r>
      <w:r w:rsidR="00BF3546" w:rsidRPr="00D63DA4">
        <w:t>Mr Momir Milenković</w:t>
      </w:r>
      <w:r w:rsidR="00BF3546" w:rsidRPr="00D63DA4">
        <w:rPr>
          <w:lang w:val="en-GB"/>
        </w:rPr>
        <w:t>’</w:t>
      </w:r>
      <w:r w:rsidRPr="00D63DA4">
        <w:rPr>
          <w:lang w:val="en-GB"/>
        </w:rPr>
        <w:t>s personal details and ante-mortem description, it provides the name, address and telephone number of</w:t>
      </w:r>
      <w:r w:rsidR="00BF3546" w:rsidRPr="00D63DA4">
        <w:rPr>
          <w:lang w:val="en-GB"/>
        </w:rPr>
        <w:t xml:space="preserve"> his mother, Mrs J.M. and his</w:t>
      </w:r>
      <w:r w:rsidRPr="00D63DA4">
        <w:rPr>
          <w:lang w:val="en-GB"/>
        </w:rPr>
        <w:t xml:space="preserve"> </w:t>
      </w:r>
      <w:r w:rsidR="00BF3546" w:rsidRPr="00D63DA4">
        <w:rPr>
          <w:lang w:val="en-GB"/>
        </w:rPr>
        <w:t>brother, Mr Z.M</w:t>
      </w:r>
      <w:r w:rsidRPr="00D63DA4">
        <w:rPr>
          <w:lang w:val="en-GB"/>
        </w:rPr>
        <w:t>.</w:t>
      </w:r>
      <w:bookmarkEnd w:id="14"/>
    </w:p>
    <w:p w:rsidR="002948A6" w:rsidRPr="00D63DA4" w:rsidRDefault="002948A6" w:rsidP="00BF3546">
      <w:pPr>
        <w:rPr>
          <w:bCs/>
          <w:lang w:val="en-GB"/>
        </w:rPr>
      </w:pPr>
      <w:bookmarkStart w:id="20" w:name="_Ref395005257"/>
      <w:bookmarkEnd w:id="15"/>
      <w:bookmarkEnd w:id="16"/>
      <w:bookmarkEnd w:id="17"/>
      <w:bookmarkEnd w:id="18"/>
      <w:bookmarkEnd w:id="19"/>
    </w:p>
    <w:p w:rsidR="00BF3546" w:rsidRPr="00D63DA4" w:rsidRDefault="002948A6" w:rsidP="00BF3546">
      <w:pPr>
        <w:widowControl w:val="0"/>
        <w:numPr>
          <w:ilvl w:val="0"/>
          <w:numId w:val="2"/>
        </w:numPr>
        <w:tabs>
          <w:tab w:val="left" w:pos="360"/>
          <w:tab w:val="num" w:pos="630"/>
          <w:tab w:val="left" w:pos="1080"/>
        </w:tabs>
        <w:suppressAutoHyphens/>
        <w:jc w:val="both"/>
        <w:rPr>
          <w:lang w:val="en-GB"/>
        </w:rPr>
      </w:pPr>
      <w:bookmarkStart w:id="21" w:name="_Ref398123286"/>
      <w:r w:rsidRPr="00D63DA4">
        <w:rPr>
          <w:lang w:val="en-GB"/>
        </w:rPr>
        <w:t>The MPU file contains a</w:t>
      </w:r>
      <w:r w:rsidR="00BF3546" w:rsidRPr="00D63DA4">
        <w:rPr>
          <w:lang w:val="en-GB"/>
        </w:rPr>
        <w:t>n undated document labelled</w:t>
      </w:r>
      <w:r w:rsidRPr="00D63DA4">
        <w:rPr>
          <w:lang w:val="en-GB"/>
        </w:rPr>
        <w:t xml:space="preserve"> “</w:t>
      </w:r>
      <w:r w:rsidR="00BF3546" w:rsidRPr="00D63DA4">
        <w:rPr>
          <w:bCs/>
        </w:rPr>
        <w:t>Missing Person Unit-Case Continuation Report</w:t>
      </w:r>
      <w:r w:rsidRPr="00D63DA4">
        <w:rPr>
          <w:lang w:val="en-GB"/>
        </w:rPr>
        <w:t xml:space="preserve">” for </w:t>
      </w:r>
      <w:r w:rsidR="00BF3546" w:rsidRPr="00D63DA4">
        <w:t>Mr Momir Milenković</w:t>
      </w:r>
      <w:r w:rsidRPr="00D63DA4">
        <w:rPr>
          <w:lang w:val="en-GB"/>
        </w:rPr>
        <w:t>, affixed with the file number 1999-000</w:t>
      </w:r>
      <w:r w:rsidR="00BF3546" w:rsidRPr="00D63DA4">
        <w:rPr>
          <w:lang w:val="en-GB"/>
        </w:rPr>
        <w:t>520</w:t>
      </w:r>
      <w:r w:rsidRPr="00D63DA4">
        <w:rPr>
          <w:lang w:val="en-GB"/>
        </w:rPr>
        <w:t>. The Report contains four inputs. The first</w:t>
      </w:r>
      <w:r w:rsidR="00BF3546" w:rsidRPr="00D63DA4">
        <w:rPr>
          <w:lang w:val="en-GB"/>
        </w:rPr>
        <w:t>, third and fourth</w:t>
      </w:r>
      <w:r w:rsidRPr="00D63DA4">
        <w:rPr>
          <w:lang w:val="en-GB"/>
        </w:rPr>
        <w:t xml:space="preserve"> input, dated </w:t>
      </w:r>
      <w:r w:rsidR="00BF3546" w:rsidRPr="00D63DA4">
        <w:rPr>
          <w:lang w:val="en-GB"/>
        </w:rPr>
        <w:t>28 June 2000, 10 June 2002 and 10 June 2002, respectively, state “Input D.B.-OK”. The second input, dated 3 April 2002, states “Information on AM data received from ICRC Belgrade”.</w:t>
      </w:r>
      <w:bookmarkEnd w:id="21"/>
    </w:p>
    <w:p w:rsidR="00BF3546" w:rsidRPr="00D63DA4" w:rsidRDefault="00BF3546" w:rsidP="00BF3546">
      <w:pPr>
        <w:pStyle w:val="ListParagraph"/>
        <w:rPr>
          <w:lang w:val="en-GB"/>
        </w:rPr>
      </w:pPr>
    </w:p>
    <w:p w:rsidR="00BF3546" w:rsidRPr="00D63DA4" w:rsidRDefault="00BF3546" w:rsidP="00BF3546">
      <w:pPr>
        <w:widowControl w:val="0"/>
        <w:numPr>
          <w:ilvl w:val="0"/>
          <w:numId w:val="2"/>
        </w:numPr>
        <w:tabs>
          <w:tab w:val="left" w:pos="360"/>
          <w:tab w:val="num" w:pos="630"/>
          <w:tab w:val="left" w:pos="1080"/>
        </w:tabs>
        <w:suppressAutoHyphens/>
        <w:jc w:val="both"/>
        <w:rPr>
          <w:lang w:val="en-GB"/>
        </w:rPr>
      </w:pPr>
      <w:r w:rsidRPr="00D63DA4">
        <w:rPr>
          <w:lang w:val="en-GB"/>
        </w:rPr>
        <w:t>The MPU file contains an internal memorandum from an MPU Officer to the MPU Office in Belgrade, dated 12 April 2004, affixed with the file number 1999-000520 and cross-referenced with the file number 0186/INV/04. The memo</w:t>
      </w:r>
      <w:r w:rsidR="002D73EB" w:rsidRPr="00D63DA4">
        <w:rPr>
          <w:lang w:val="en-GB"/>
        </w:rPr>
        <w:t>randum</w:t>
      </w:r>
      <w:r w:rsidRPr="00D63DA4">
        <w:rPr>
          <w:lang w:val="en-GB"/>
        </w:rPr>
        <w:t xml:space="preserve"> states “Momir MILENKOVIĆ disappeared in Pristina on 23/06/1999. Since that time they [</w:t>
      </w:r>
      <w:r w:rsidRPr="00D63DA4">
        <w:rPr>
          <w:i/>
          <w:lang w:val="en-GB"/>
        </w:rPr>
        <w:t>Sic.</w:t>
      </w:r>
      <w:r w:rsidRPr="00D63DA4">
        <w:rPr>
          <w:lang w:val="en-GB"/>
        </w:rPr>
        <w:t>] have not been seen since. There is currently no information regarding his whereabouts…Please get in touch with the relatives to update the investigation. Maybe they have new information about the disappearance and the current whereabouts…”</w:t>
      </w:r>
    </w:p>
    <w:p w:rsidR="00BF3546" w:rsidRPr="00D63DA4" w:rsidRDefault="00BF3546" w:rsidP="00BF3546">
      <w:pPr>
        <w:widowControl w:val="0"/>
        <w:tabs>
          <w:tab w:val="left" w:pos="360"/>
          <w:tab w:val="left" w:pos="1080"/>
        </w:tabs>
        <w:suppressAutoHyphens/>
        <w:jc w:val="both"/>
        <w:rPr>
          <w:lang w:val="en-GB"/>
        </w:rPr>
      </w:pPr>
    </w:p>
    <w:p w:rsidR="00BF3546" w:rsidRPr="00D63DA4" w:rsidRDefault="00BF3546" w:rsidP="00BF3546">
      <w:pPr>
        <w:widowControl w:val="0"/>
        <w:numPr>
          <w:ilvl w:val="0"/>
          <w:numId w:val="2"/>
        </w:numPr>
        <w:tabs>
          <w:tab w:val="left" w:pos="360"/>
          <w:tab w:val="num" w:pos="630"/>
          <w:tab w:val="left" w:pos="1080"/>
        </w:tabs>
        <w:suppressAutoHyphens/>
        <w:jc w:val="both"/>
        <w:rPr>
          <w:lang w:val="en-GB"/>
        </w:rPr>
      </w:pPr>
      <w:bookmarkStart w:id="22" w:name="_Ref398126195"/>
      <w:r w:rsidRPr="00D63DA4">
        <w:rPr>
          <w:lang w:val="en-GB"/>
        </w:rPr>
        <w:t xml:space="preserve">The MPU file contains another document labelled “Missing Person Unit Resource and Information Pillar”, dated 19 May 2004, affixed with the file number 1999-000520 and cross-referenced with the file number 0186/INV/04. The document lists </w:t>
      </w:r>
      <w:r w:rsidRPr="00D63DA4">
        <w:t>Mr Momir Milenković</w:t>
      </w:r>
      <w:r w:rsidRPr="00D63DA4">
        <w:rPr>
          <w:lang w:val="en-GB"/>
        </w:rPr>
        <w:t>’s brother Mr Z.M. as a witness and lists the status of the case as “pending”. The document also links to an “Investigative Report”</w:t>
      </w:r>
      <w:r w:rsidR="002D73EB" w:rsidRPr="00D63DA4">
        <w:rPr>
          <w:lang w:val="en-GB"/>
        </w:rPr>
        <w:t>,</w:t>
      </w:r>
      <w:r w:rsidRPr="00D63DA4">
        <w:rPr>
          <w:lang w:val="en-GB"/>
        </w:rPr>
        <w:t xml:space="preserve"> which gives </w:t>
      </w:r>
      <w:r w:rsidRPr="00D63DA4">
        <w:t>the factual details about Mr Momir Milenković</w:t>
      </w:r>
      <w:r w:rsidRPr="00D63DA4">
        <w:rPr>
          <w:lang w:val="en-GB"/>
        </w:rPr>
        <w:t>’s abduction and states “[o]n the 17</w:t>
      </w:r>
      <w:r w:rsidRPr="00D63DA4">
        <w:rPr>
          <w:vertAlign w:val="superscript"/>
          <w:lang w:val="en-GB"/>
        </w:rPr>
        <w:t>th</w:t>
      </w:r>
      <w:r w:rsidRPr="00D63DA4">
        <w:rPr>
          <w:lang w:val="en-GB"/>
        </w:rPr>
        <w:t xml:space="preserve"> of April 2004, officer [K.N.] contacted the brother of the MP to update the information… There is currently no information regarding his whereabouts.” Under the heading labelled “Conclusion”, the Report states “Suggestion to keep the case pending”.</w:t>
      </w:r>
      <w:bookmarkEnd w:id="22"/>
    </w:p>
    <w:p w:rsidR="00D64ACA" w:rsidRPr="00D63DA4" w:rsidRDefault="00BF3546" w:rsidP="00BF3546">
      <w:pPr>
        <w:widowControl w:val="0"/>
        <w:tabs>
          <w:tab w:val="left" w:pos="360"/>
          <w:tab w:val="left" w:pos="1080"/>
        </w:tabs>
        <w:suppressAutoHyphens/>
        <w:jc w:val="both"/>
        <w:rPr>
          <w:lang w:val="en-GB"/>
        </w:rPr>
      </w:pPr>
      <w:r w:rsidRPr="00D63DA4">
        <w:rPr>
          <w:lang w:val="en-GB"/>
        </w:rPr>
        <w:t xml:space="preserve"> </w:t>
      </w:r>
      <w:bookmarkEnd w:id="20"/>
    </w:p>
    <w:p w:rsidR="00A67319" w:rsidRPr="00D63DA4" w:rsidRDefault="005949E2" w:rsidP="00DC5B20">
      <w:pPr>
        <w:pStyle w:val="ListParagraph"/>
        <w:ind w:left="0"/>
        <w:jc w:val="both"/>
        <w:rPr>
          <w:i/>
          <w:lang w:val="en-GB"/>
        </w:rPr>
      </w:pPr>
      <w:r w:rsidRPr="00D63DA4">
        <w:rPr>
          <w:i/>
          <w:lang w:val="en-GB"/>
        </w:rPr>
        <w:t xml:space="preserve">Files related to the WCIU </w:t>
      </w:r>
      <w:r w:rsidR="00A67319" w:rsidRPr="00D63DA4">
        <w:rPr>
          <w:i/>
          <w:lang w:val="en-GB"/>
        </w:rPr>
        <w:t>Investigation with regard to perpetrator(s)</w:t>
      </w:r>
    </w:p>
    <w:p w:rsidR="00BF3546" w:rsidRPr="00D63DA4" w:rsidRDefault="00BF3546" w:rsidP="005949E2">
      <w:pPr>
        <w:widowControl w:val="0"/>
        <w:tabs>
          <w:tab w:val="left" w:pos="360"/>
          <w:tab w:val="left" w:pos="1080"/>
        </w:tabs>
        <w:suppressAutoHyphens/>
        <w:jc w:val="both"/>
        <w:rPr>
          <w:bCs/>
          <w:lang w:val="en-GB"/>
        </w:rPr>
      </w:pPr>
      <w:bookmarkStart w:id="23" w:name="_Ref393961966"/>
      <w:bookmarkStart w:id="24" w:name="_Ref373835022"/>
    </w:p>
    <w:p w:rsidR="002948A6" w:rsidRPr="00D63DA4" w:rsidRDefault="00BF3546" w:rsidP="00BF3546">
      <w:pPr>
        <w:pStyle w:val="ListParagraph"/>
        <w:numPr>
          <w:ilvl w:val="0"/>
          <w:numId w:val="2"/>
        </w:numPr>
        <w:suppressAutoHyphens w:val="0"/>
        <w:contextualSpacing/>
        <w:jc w:val="both"/>
      </w:pPr>
      <w:bookmarkStart w:id="25" w:name="_Ref398131823"/>
      <w:r w:rsidRPr="00D63DA4">
        <w:t xml:space="preserve">The file provided by UNMIK contains a WCIU “Case Analysis Review Report”, dated 25 May 2008, affixed with the file number 0186/INV/04 and cross-referenced with MPU file number </w:t>
      </w:r>
      <w:r w:rsidRPr="00D63DA4">
        <w:rPr>
          <w:lang w:val="en-GB"/>
        </w:rPr>
        <w:t>1999-000520</w:t>
      </w:r>
      <w:r w:rsidRPr="00D63DA4">
        <w:t>. The document provides some data for Mr Momir Milenković</w:t>
      </w:r>
      <w:r w:rsidRPr="00D63DA4">
        <w:rPr>
          <w:lang w:val="en-GB"/>
        </w:rPr>
        <w:t>, and lists his date of disappearance as 29 June 1999. Under the heading labelled “Priority of the Case” the Report states “Low”. Under the heading labelled “Status of the Case” the Report states “Pending” and gives the reason “Waiting for Further Information”.</w:t>
      </w:r>
      <w:bookmarkEnd w:id="25"/>
      <w:r w:rsidRPr="00D63DA4">
        <w:rPr>
          <w:lang w:val="en-GB"/>
        </w:rPr>
        <w:t xml:space="preserve"> </w:t>
      </w:r>
    </w:p>
    <w:p w:rsidR="005949E2" w:rsidRPr="00D63DA4" w:rsidRDefault="005949E2" w:rsidP="005949E2">
      <w:pPr>
        <w:pStyle w:val="ListParagraph"/>
        <w:suppressAutoHyphens w:val="0"/>
        <w:ind w:left="360"/>
        <w:contextualSpacing/>
        <w:jc w:val="both"/>
      </w:pPr>
    </w:p>
    <w:p w:rsidR="005949E2" w:rsidRPr="00D63DA4" w:rsidRDefault="005949E2" w:rsidP="005949E2">
      <w:pPr>
        <w:widowControl w:val="0"/>
        <w:numPr>
          <w:ilvl w:val="0"/>
          <w:numId w:val="2"/>
        </w:numPr>
        <w:tabs>
          <w:tab w:val="left" w:pos="360"/>
          <w:tab w:val="num" w:pos="630"/>
          <w:tab w:val="left" w:pos="1080"/>
        </w:tabs>
        <w:suppressAutoHyphens/>
        <w:jc w:val="both"/>
        <w:rPr>
          <w:bCs/>
          <w:lang w:val="en-GB"/>
        </w:rPr>
      </w:pPr>
      <w:r w:rsidRPr="00D63DA4">
        <w:rPr>
          <w:bCs/>
          <w:lang w:val="en-GB"/>
        </w:rPr>
        <w:t xml:space="preserve">The file also contains a copy of an entry in the </w:t>
      </w:r>
      <w:r w:rsidRPr="00D63DA4">
        <w:rPr>
          <w:lang w:val="en-GB"/>
        </w:rPr>
        <w:t xml:space="preserve">Humanitarian Law Centre </w:t>
      </w:r>
      <w:r w:rsidR="003C2820">
        <w:rPr>
          <w:lang w:val="en-GB"/>
        </w:rPr>
        <w:t xml:space="preserve">(HLC) </w:t>
      </w:r>
      <w:r w:rsidRPr="00D63DA4">
        <w:rPr>
          <w:lang w:val="en-GB"/>
        </w:rPr>
        <w:t xml:space="preserve">publication </w:t>
      </w:r>
      <w:r w:rsidRPr="00D63DA4">
        <w:rPr>
          <w:lang w:val="en-GB"/>
        </w:rPr>
        <w:lastRenderedPageBreak/>
        <w:t>“Abductions and Disappearances of non-Albanians in Kosovo”</w:t>
      </w:r>
      <w:r w:rsidRPr="00D63DA4">
        <w:rPr>
          <w:bCs/>
          <w:lang w:val="en-GB"/>
        </w:rPr>
        <w:t xml:space="preserve"> related to Mr Momir </w:t>
      </w:r>
      <w:r w:rsidRPr="00D63DA4">
        <w:t xml:space="preserve">Milenković which provides an account of </w:t>
      </w:r>
      <w:r w:rsidRPr="00D63DA4">
        <w:rPr>
          <w:bCs/>
          <w:lang w:val="en-GB"/>
        </w:rPr>
        <w:t xml:space="preserve">Mr Momir </w:t>
      </w:r>
      <w:r w:rsidRPr="00D63DA4">
        <w:t xml:space="preserve">Milenković’s abduction similar to the one that the complainant provided to the Panel. This account includes the additional detail that the car that </w:t>
      </w:r>
      <w:r w:rsidRPr="00D63DA4">
        <w:rPr>
          <w:bCs/>
          <w:lang w:val="en-GB"/>
        </w:rPr>
        <w:t xml:space="preserve">Mr Momir </w:t>
      </w:r>
      <w:r w:rsidRPr="00D63DA4">
        <w:t>Milenković was abducted in was a black limousine without a license plate.</w:t>
      </w:r>
    </w:p>
    <w:p w:rsidR="005949E2" w:rsidRPr="00D63DA4" w:rsidRDefault="005949E2" w:rsidP="005949E2">
      <w:pPr>
        <w:contextualSpacing/>
        <w:jc w:val="both"/>
      </w:pPr>
    </w:p>
    <w:p w:rsidR="005949E2" w:rsidRPr="00D63DA4" w:rsidRDefault="005949E2" w:rsidP="00506297">
      <w:pPr>
        <w:pStyle w:val="ListParagraph"/>
        <w:ind w:left="0"/>
        <w:jc w:val="both"/>
        <w:rPr>
          <w:i/>
        </w:rPr>
      </w:pPr>
      <w:r w:rsidRPr="00D63DA4">
        <w:rPr>
          <w:i/>
        </w:rPr>
        <w:t xml:space="preserve">Other </w:t>
      </w:r>
      <w:r w:rsidRPr="00506297">
        <w:rPr>
          <w:i/>
          <w:lang w:val="en-GB"/>
        </w:rPr>
        <w:t>Investigative</w:t>
      </w:r>
      <w:r w:rsidRPr="00D63DA4">
        <w:rPr>
          <w:i/>
        </w:rPr>
        <w:t xml:space="preserve"> documents provided by EULEX WCIU to UNMIK</w:t>
      </w:r>
    </w:p>
    <w:p w:rsidR="005949E2" w:rsidRPr="00D63DA4" w:rsidRDefault="005949E2" w:rsidP="005949E2">
      <w:pPr>
        <w:pStyle w:val="ListParagraph"/>
        <w:ind w:left="360"/>
        <w:rPr>
          <w:i/>
        </w:rPr>
      </w:pPr>
      <w:r w:rsidRPr="00D63DA4">
        <w:rPr>
          <w:i/>
        </w:rPr>
        <w:t xml:space="preserve"> </w:t>
      </w:r>
    </w:p>
    <w:p w:rsidR="005949E2" w:rsidRPr="00D63DA4" w:rsidRDefault="005949E2" w:rsidP="005949E2">
      <w:pPr>
        <w:widowControl w:val="0"/>
        <w:numPr>
          <w:ilvl w:val="0"/>
          <w:numId w:val="2"/>
        </w:numPr>
        <w:tabs>
          <w:tab w:val="left" w:pos="360"/>
          <w:tab w:val="num" w:pos="630"/>
          <w:tab w:val="left" w:pos="1080"/>
        </w:tabs>
        <w:suppressAutoHyphens/>
        <w:jc w:val="both"/>
        <w:rPr>
          <w:bCs/>
          <w:lang w:val="en-GB"/>
        </w:rPr>
      </w:pPr>
      <w:bookmarkStart w:id="26" w:name="_Ref397948205"/>
      <w:bookmarkStart w:id="27" w:name="_Ref398305787"/>
      <w:r w:rsidRPr="00D63DA4">
        <w:rPr>
          <w:bCs/>
          <w:lang w:val="en-GB"/>
        </w:rPr>
        <w:t xml:space="preserve">The investigative file contains a number of documents relating to a British KFOR investigation into the death of a “Mr Momie </w:t>
      </w:r>
      <w:r w:rsidRPr="00D63DA4">
        <w:t>Milenković”, which may not be related to the complaint.</w:t>
      </w:r>
      <w:r w:rsidRPr="00D63DA4">
        <w:rPr>
          <w:rStyle w:val="FootnoteReference"/>
        </w:rPr>
        <w:footnoteReference w:id="6"/>
      </w:r>
      <w:r w:rsidRPr="00D63DA4">
        <w:t xml:space="preserve"> One document gives a synopsis of the investigation. It states “[a]bout 1935 hrs [on 23 June 1999], the lifeless body of Mr Milenkovic was conveyed to the mortuary, the University Hospital, Pristina, pending the possibility of a post mortem examination. About 2312 hrs, [G.] was arrested on suspicion of murder by SIB and during a subsequent </w:t>
      </w:r>
      <w:proofErr w:type="gramStart"/>
      <w:r w:rsidRPr="00D63DA4">
        <w:t>interview,</w:t>
      </w:r>
      <w:proofErr w:type="gramEnd"/>
      <w:r w:rsidRPr="00D63DA4">
        <w:t xml:space="preserve"> the civilian denied being an accomplice in the murder of Mr Milenkovic. He stated how earlier that day he had assaulted Mr Milenkovic, a Serbian national, following a verbal altercation with him in Pristina town centre. During the altercation, he alleged that the two men in the Mercedes he had been detained driving had pulled alongside them and forced them both into the vehicle. The two men identified themselves as members of the KLA and they were driven to the northern part of the city. Whilst in route, Mr Milenkovic was continually beaten by the one of the men. On stopping the vehicle, Mr Milenkovic was forced into an orchard by both men and seizing his chance to escape [G.] drove off in the unattended vehicle.” Other documents in the file show that [G.] was detained by British KFOR while fleeing the area in a Mercedes (PR 101 622)</w:t>
      </w:r>
      <w:r w:rsidRPr="00D63DA4">
        <w:rPr>
          <w:bCs/>
          <w:lang w:val="en-GB"/>
        </w:rPr>
        <w:t xml:space="preserve"> </w:t>
      </w:r>
      <w:r w:rsidRPr="00D63DA4">
        <w:t>near the crime scene where Mr “Momie” Milenković’s body had been found. The document states that [G] was covered in blood when he was detained.</w:t>
      </w:r>
      <w:r w:rsidRPr="00D63DA4">
        <w:rPr>
          <w:bCs/>
          <w:lang w:val="en-GB"/>
        </w:rPr>
        <w:t xml:space="preserve"> </w:t>
      </w:r>
      <w:bookmarkEnd w:id="26"/>
      <w:r w:rsidRPr="00D63DA4">
        <w:rPr>
          <w:bCs/>
          <w:lang w:val="en-GB"/>
        </w:rPr>
        <w:t>Later documents inform that [G.] was released on 10 September 1999 because the prosecutor withdrew the murder charges.</w:t>
      </w:r>
      <w:bookmarkEnd w:id="27"/>
    </w:p>
    <w:p w:rsidR="002948A6" w:rsidRPr="00D63DA4" w:rsidRDefault="002948A6" w:rsidP="002948A6">
      <w:pPr>
        <w:widowControl w:val="0"/>
        <w:tabs>
          <w:tab w:val="left" w:pos="1080"/>
        </w:tabs>
        <w:suppressAutoHyphens/>
        <w:ind w:left="360"/>
        <w:jc w:val="both"/>
        <w:rPr>
          <w:bCs/>
          <w:lang w:val="en-GB"/>
        </w:rPr>
      </w:pPr>
    </w:p>
    <w:p w:rsidR="00EA506C" w:rsidRPr="00D63DA4" w:rsidRDefault="002948A6" w:rsidP="00F27A88">
      <w:pPr>
        <w:widowControl w:val="0"/>
        <w:numPr>
          <w:ilvl w:val="0"/>
          <w:numId w:val="2"/>
        </w:numPr>
        <w:tabs>
          <w:tab w:val="left" w:pos="360"/>
          <w:tab w:val="num" w:pos="630"/>
          <w:tab w:val="left" w:pos="1080"/>
        </w:tabs>
        <w:suppressAutoHyphens/>
        <w:jc w:val="both"/>
        <w:rPr>
          <w:lang w:val="en-GB" w:eastAsia="en-GB"/>
        </w:rPr>
      </w:pPr>
      <w:bookmarkStart w:id="28" w:name="_Ref398306547"/>
      <w:r w:rsidRPr="00D63DA4">
        <w:rPr>
          <w:bCs/>
          <w:lang w:val="en-GB"/>
        </w:rPr>
        <w:t>The final document in the file is a</w:t>
      </w:r>
      <w:r w:rsidR="00BF3546" w:rsidRPr="00D63DA4">
        <w:rPr>
          <w:bCs/>
          <w:lang w:val="en-GB"/>
        </w:rPr>
        <w:t xml:space="preserve"> EULEX document labelled “Case Analysis Report” dated May 2011, affixed with the reference number 1105WCIU441i. This Report provides the same information as the abovementioned WCIU and KFOR documents. Concerning Mr “Momie” </w:t>
      </w:r>
      <w:r w:rsidR="00BF3546" w:rsidRPr="00D63DA4">
        <w:t xml:space="preserve">Milenković, the Report states “no documents confirming the recovery of the dead body or his reception in the Pristina mortuary could be found.” The Report concludes “The name [of </w:t>
      </w:r>
      <w:r w:rsidR="00BF3546" w:rsidRPr="00D63DA4">
        <w:rPr>
          <w:bCs/>
          <w:lang w:val="en-GB"/>
        </w:rPr>
        <w:t xml:space="preserve">Mr Momir </w:t>
      </w:r>
      <w:r w:rsidR="00BF3546" w:rsidRPr="00D63DA4">
        <w:t>Milenković] does not appear in documents linked to EULEX/WCIU war crimes case. Note that the event date lies outside of the war crimes timeframe.”</w:t>
      </w:r>
      <w:bookmarkEnd w:id="28"/>
      <w:r w:rsidR="00BF3546" w:rsidRPr="00D63DA4">
        <w:rPr>
          <w:bCs/>
          <w:lang w:val="en-GB"/>
        </w:rPr>
        <w:t xml:space="preserve"> </w:t>
      </w:r>
      <w:bookmarkEnd w:id="23"/>
      <w:bookmarkEnd w:id="24"/>
    </w:p>
    <w:p w:rsidR="00BF3546" w:rsidRPr="00D63DA4" w:rsidRDefault="00BF3546" w:rsidP="00BF3546">
      <w:pPr>
        <w:pStyle w:val="ListParagraph"/>
        <w:rPr>
          <w:lang w:val="en-GB" w:eastAsia="en-GB"/>
        </w:rPr>
      </w:pPr>
    </w:p>
    <w:p w:rsidR="00BF3546" w:rsidRPr="00D63DA4" w:rsidRDefault="00BF3546" w:rsidP="00BF3546">
      <w:pPr>
        <w:widowControl w:val="0"/>
        <w:tabs>
          <w:tab w:val="left" w:pos="360"/>
          <w:tab w:val="left" w:pos="1080"/>
        </w:tabs>
        <w:suppressAutoHyphens/>
        <w:ind w:left="360"/>
        <w:jc w:val="both"/>
        <w:rPr>
          <w:lang w:val="en-GB" w:eastAsia="en-GB"/>
        </w:rPr>
      </w:pPr>
    </w:p>
    <w:p w:rsidR="003E3F85" w:rsidRPr="00D63DA4" w:rsidRDefault="003E3F85" w:rsidP="003E3F85">
      <w:pPr>
        <w:numPr>
          <w:ilvl w:val="0"/>
          <w:numId w:val="1"/>
        </w:numPr>
        <w:suppressAutoHyphens/>
        <w:autoSpaceDE w:val="0"/>
        <w:ind w:left="360" w:hanging="360"/>
        <w:jc w:val="both"/>
        <w:rPr>
          <w:b/>
          <w:bCs/>
        </w:rPr>
      </w:pPr>
      <w:r w:rsidRPr="00D63DA4">
        <w:rPr>
          <w:b/>
          <w:bCs/>
          <w:lang w:val="en-GB"/>
        </w:rPr>
        <w:t>THE</w:t>
      </w:r>
      <w:r w:rsidRPr="00D63DA4">
        <w:rPr>
          <w:b/>
          <w:bCs/>
        </w:rPr>
        <w:t xml:space="preserve"> COMPLAINT</w:t>
      </w:r>
    </w:p>
    <w:p w:rsidR="003E3F85" w:rsidRPr="00D63DA4" w:rsidRDefault="003E3F85" w:rsidP="003E3F85">
      <w:pPr>
        <w:pStyle w:val="ListParagraph"/>
        <w:tabs>
          <w:tab w:val="left" w:pos="357"/>
        </w:tabs>
        <w:autoSpaceDE w:val="0"/>
        <w:ind w:left="1080"/>
        <w:jc w:val="both"/>
        <w:rPr>
          <w:b/>
          <w:bCs/>
          <w:lang w:val="en-GB"/>
        </w:rPr>
      </w:pPr>
    </w:p>
    <w:p w:rsidR="003E3F85" w:rsidRPr="00D63DA4" w:rsidRDefault="003E3F85" w:rsidP="003E3F85">
      <w:pPr>
        <w:pStyle w:val="ListParagraph"/>
        <w:numPr>
          <w:ilvl w:val="0"/>
          <w:numId w:val="2"/>
        </w:numPr>
        <w:autoSpaceDE w:val="0"/>
        <w:jc w:val="both"/>
        <w:rPr>
          <w:b/>
          <w:bCs/>
          <w:lang w:val="en-GB"/>
        </w:rPr>
      </w:pPr>
      <w:r w:rsidRPr="00D63DA4">
        <w:rPr>
          <w:lang w:val="en-GB"/>
        </w:rPr>
        <w:t xml:space="preserve">The complainant complains about UNMIK’s alleged failure to properly investigate the </w:t>
      </w:r>
      <w:r w:rsidR="00BF3546" w:rsidRPr="00D63DA4">
        <w:rPr>
          <w:lang w:val="en-GB"/>
        </w:rPr>
        <w:t>abduction</w:t>
      </w:r>
      <w:r w:rsidR="00D04174" w:rsidRPr="00D63DA4">
        <w:rPr>
          <w:lang w:val="en-GB"/>
        </w:rPr>
        <w:t xml:space="preserve"> and disappearance</w:t>
      </w:r>
      <w:r w:rsidRPr="00D63DA4">
        <w:rPr>
          <w:lang w:val="en-GB"/>
        </w:rPr>
        <w:t xml:space="preserve"> of </w:t>
      </w:r>
      <w:r w:rsidR="00BF3546" w:rsidRPr="00D63DA4">
        <w:rPr>
          <w:bCs/>
          <w:lang w:val="en-GB"/>
        </w:rPr>
        <w:t xml:space="preserve">Mr Momir </w:t>
      </w:r>
      <w:r w:rsidR="00BF3546" w:rsidRPr="00D63DA4">
        <w:t>Milenković</w:t>
      </w:r>
      <w:r w:rsidRPr="00D63DA4">
        <w:rPr>
          <w:lang w:val="en-GB"/>
        </w:rPr>
        <w:t xml:space="preserve">. In this regard, the Panel deems that </w:t>
      </w:r>
      <w:r w:rsidRPr="00D63DA4">
        <w:rPr>
          <w:lang w:val="en-GB"/>
        </w:rPr>
        <w:lastRenderedPageBreak/>
        <w:t>the complainant invokes a violation of the procedural limb of Article 2 of the European Convention on Human Rights (ECHR).</w:t>
      </w:r>
    </w:p>
    <w:p w:rsidR="00BF3546" w:rsidRPr="00D63DA4" w:rsidRDefault="00BF3546" w:rsidP="00BF3546">
      <w:pPr>
        <w:pStyle w:val="ListParagraph"/>
        <w:autoSpaceDE w:val="0"/>
        <w:ind w:left="360"/>
        <w:jc w:val="both"/>
        <w:rPr>
          <w:b/>
          <w:bCs/>
          <w:lang w:val="en-GB"/>
        </w:rPr>
      </w:pPr>
    </w:p>
    <w:p w:rsidR="00BF3546" w:rsidRPr="00D63DA4" w:rsidRDefault="00BF3546" w:rsidP="00BF3546">
      <w:pPr>
        <w:pStyle w:val="Default"/>
        <w:numPr>
          <w:ilvl w:val="0"/>
          <w:numId w:val="2"/>
        </w:numPr>
        <w:jc w:val="both"/>
        <w:rPr>
          <w:lang w:val="en-GB"/>
        </w:rPr>
      </w:pPr>
      <w:r w:rsidRPr="00D63DA4">
        <w:rPr>
          <w:lang w:val="en-GB"/>
        </w:rPr>
        <w:t xml:space="preserve">The complainant also complains about the mental pain and suffering allegedly caused to him by this situation. In this regard, the Panel deems that the complainant relies on Article 3 of the ECHR. </w:t>
      </w:r>
    </w:p>
    <w:p w:rsidR="003E3F85" w:rsidRPr="00D63DA4" w:rsidRDefault="003E3F85" w:rsidP="003E3F85">
      <w:pPr>
        <w:autoSpaceDE w:val="0"/>
        <w:jc w:val="both"/>
        <w:rPr>
          <w:b/>
          <w:bCs/>
          <w:lang w:val="en-GB"/>
        </w:rPr>
      </w:pPr>
    </w:p>
    <w:p w:rsidR="003E3F85" w:rsidRPr="00D63DA4" w:rsidRDefault="003E3F85" w:rsidP="003E3F85">
      <w:pPr>
        <w:autoSpaceDE w:val="0"/>
        <w:jc w:val="both"/>
        <w:rPr>
          <w:b/>
          <w:bCs/>
          <w:lang w:val="en-GB"/>
        </w:rPr>
      </w:pPr>
    </w:p>
    <w:p w:rsidR="003E3F85" w:rsidRPr="00D63DA4" w:rsidRDefault="003E3F85" w:rsidP="003E3F85">
      <w:pPr>
        <w:numPr>
          <w:ilvl w:val="0"/>
          <w:numId w:val="1"/>
        </w:numPr>
        <w:suppressAutoHyphens/>
        <w:autoSpaceDE w:val="0"/>
        <w:ind w:left="360" w:hanging="360"/>
        <w:jc w:val="both"/>
        <w:rPr>
          <w:b/>
          <w:bCs/>
          <w:lang w:val="en-GB"/>
        </w:rPr>
      </w:pPr>
      <w:r w:rsidRPr="00D63DA4">
        <w:rPr>
          <w:b/>
          <w:bCs/>
          <w:lang w:val="en-GB"/>
        </w:rPr>
        <w:t>THE LAW</w:t>
      </w:r>
    </w:p>
    <w:p w:rsidR="003E3F85" w:rsidRPr="00D63DA4" w:rsidRDefault="003E3F85" w:rsidP="003E3F85">
      <w:pPr>
        <w:suppressAutoHyphens/>
        <w:autoSpaceDE w:val="0"/>
        <w:jc w:val="both"/>
        <w:rPr>
          <w:bCs/>
          <w:lang w:val="en-GB"/>
        </w:rPr>
      </w:pPr>
    </w:p>
    <w:p w:rsidR="003E3F85" w:rsidRPr="00D63DA4" w:rsidRDefault="003E3F85" w:rsidP="003E3F85">
      <w:pPr>
        <w:pStyle w:val="Default"/>
        <w:numPr>
          <w:ilvl w:val="0"/>
          <w:numId w:val="4"/>
        </w:numPr>
        <w:jc w:val="both"/>
        <w:rPr>
          <w:b/>
          <w:color w:val="auto"/>
          <w:lang w:val="en-GB"/>
        </w:rPr>
      </w:pPr>
      <w:r w:rsidRPr="00D63DA4">
        <w:rPr>
          <w:b/>
          <w:color w:val="auto"/>
          <w:lang w:val="en-GB"/>
        </w:rPr>
        <w:t>Alleged violation of the procedural obligation under</w:t>
      </w:r>
      <w:r w:rsidRPr="00D63DA4">
        <w:rPr>
          <w:b/>
          <w:i/>
          <w:color w:val="auto"/>
          <w:lang w:val="en-GB"/>
        </w:rPr>
        <w:t xml:space="preserve"> </w:t>
      </w:r>
      <w:r w:rsidRPr="00D63DA4">
        <w:rPr>
          <w:b/>
          <w:color w:val="auto"/>
          <w:lang w:val="en-GB"/>
        </w:rPr>
        <w:t xml:space="preserve">Article 2 of the ECHR </w:t>
      </w:r>
    </w:p>
    <w:p w:rsidR="003E3F85" w:rsidRPr="00D63DA4" w:rsidRDefault="003E3F85" w:rsidP="003E3F85">
      <w:pPr>
        <w:tabs>
          <w:tab w:val="left" w:pos="630"/>
          <w:tab w:val="left" w:pos="2790"/>
        </w:tabs>
        <w:suppressAutoHyphens/>
        <w:autoSpaceDE w:val="0"/>
        <w:jc w:val="both"/>
        <w:rPr>
          <w:bCs/>
          <w:lang w:val="en-GB"/>
        </w:rPr>
      </w:pPr>
    </w:p>
    <w:p w:rsidR="003E3F85" w:rsidRPr="00D63DA4" w:rsidRDefault="003E3F85" w:rsidP="003E3F85">
      <w:pPr>
        <w:pStyle w:val="ListParagraph"/>
        <w:numPr>
          <w:ilvl w:val="1"/>
          <w:numId w:val="1"/>
        </w:numPr>
        <w:tabs>
          <w:tab w:val="clear" w:pos="360"/>
          <w:tab w:val="left" w:pos="357"/>
        </w:tabs>
        <w:autoSpaceDE w:val="0"/>
        <w:contextualSpacing/>
        <w:jc w:val="both"/>
        <w:rPr>
          <w:b/>
          <w:bCs/>
          <w:lang w:val="en-GB"/>
        </w:rPr>
      </w:pPr>
      <w:r w:rsidRPr="00D63DA4">
        <w:rPr>
          <w:b/>
          <w:bCs/>
          <w:lang w:val="en-GB"/>
        </w:rPr>
        <w:t>The scope of the Panel’s review</w:t>
      </w:r>
    </w:p>
    <w:p w:rsidR="003E3F85" w:rsidRPr="00D63DA4" w:rsidRDefault="003E3F85" w:rsidP="003E3F85">
      <w:pPr>
        <w:suppressAutoHyphens/>
        <w:autoSpaceDE w:val="0"/>
        <w:jc w:val="both"/>
        <w:rPr>
          <w:bCs/>
          <w:lang w:val="en-GB"/>
        </w:rPr>
      </w:pPr>
    </w:p>
    <w:p w:rsidR="003E3F85" w:rsidRPr="00D63DA4" w:rsidRDefault="003E3F85" w:rsidP="003E3F85">
      <w:pPr>
        <w:pStyle w:val="ListParagraph"/>
        <w:numPr>
          <w:ilvl w:val="0"/>
          <w:numId w:val="2"/>
        </w:numPr>
        <w:autoSpaceDE w:val="0"/>
        <w:jc w:val="both"/>
        <w:rPr>
          <w:bCs/>
          <w:lang w:val="en-GB"/>
        </w:rPr>
      </w:pPr>
      <w:bookmarkStart w:id="29" w:name="_Ref398135217"/>
      <w:r w:rsidRPr="00D63DA4">
        <w:rPr>
          <w:bCs/>
          <w:lang w:val="en-GB"/>
        </w:rPr>
        <w:t>Before turning to the examination of the merits of the complaint, the Panel needs to clarify the scope of its review.</w:t>
      </w:r>
      <w:bookmarkEnd w:id="29"/>
    </w:p>
    <w:p w:rsidR="003E3F85" w:rsidRPr="00D63DA4" w:rsidRDefault="003E3F85" w:rsidP="003E3F85">
      <w:pPr>
        <w:autoSpaceDE w:val="0"/>
        <w:jc w:val="both"/>
        <w:rPr>
          <w:bCs/>
          <w:lang w:val="en-GB"/>
        </w:rPr>
      </w:pPr>
    </w:p>
    <w:p w:rsidR="003E3F85" w:rsidRPr="00D63DA4" w:rsidRDefault="003E3F85" w:rsidP="003E3F85">
      <w:pPr>
        <w:pStyle w:val="ListParagraph"/>
        <w:numPr>
          <w:ilvl w:val="0"/>
          <w:numId w:val="2"/>
        </w:numPr>
        <w:autoSpaceDE w:val="0"/>
        <w:jc w:val="both"/>
        <w:rPr>
          <w:lang w:val="en-GB"/>
        </w:rPr>
      </w:pPr>
      <w:bookmarkStart w:id="30" w:name="_Ref366160496"/>
      <w:r w:rsidRPr="00D63DA4">
        <w:rPr>
          <w:lang w:val="en-GB"/>
        </w:rPr>
        <w:t>In determining whether it considers that there has been a violation of Article 2 (procedural limb)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30"/>
      <w:r w:rsidRPr="00D63DA4">
        <w:rPr>
          <w:lang w:val="en-GB"/>
        </w:rPr>
        <w:t xml:space="preserve"> </w:t>
      </w:r>
    </w:p>
    <w:p w:rsidR="003E3F85" w:rsidRPr="00D63DA4" w:rsidRDefault="003E3F85" w:rsidP="003E3F85">
      <w:pPr>
        <w:tabs>
          <w:tab w:val="left" w:pos="360"/>
        </w:tabs>
        <w:autoSpaceDE w:val="0"/>
        <w:ind w:left="360" w:hanging="360"/>
        <w:jc w:val="both"/>
        <w:rPr>
          <w:bCs/>
          <w:lang w:val="en-GB"/>
        </w:rPr>
      </w:pPr>
    </w:p>
    <w:p w:rsidR="003E3F85" w:rsidRPr="00D63DA4" w:rsidRDefault="003E3F85" w:rsidP="003E3F85">
      <w:pPr>
        <w:numPr>
          <w:ilvl w:val="0"/>
          <w:numId w:val="2"/>
        </w:numPr>
        <w:suppressAutoHyphens/>
        <w:autoSpaceDE w:val="0"/>
        <w:jc w:val="both"/>
        <w:rPr>
          <w:lang w:val="en-GB"/>
        </w:rPr>
      </w:pPr>
      <w:bookmarkStart w:id="31" w:name="_Ref347321462"/>
      <w:bookmarkStart w:id="32" w:name="_Ref317418022"/>
      <w:r w:rsidRPr="00D63DA4">
        <w:rPr>
          <w:lang w:val="en-GB" w:eastAsia="nl-BE"/>
        </w:rPr>
        <w:t xml:space="preserve">The </w:t>
      </w:r>
      <w:r w:rsidRPr="00D63DA4">
        <w:rPr>
          <w:bCs/>
          <w:lang w:val="en-GB"/>
        </w:rPr>
        <w:t>Panel</w:t>
      </w:r>
      <w:r w:rsidRPr="00D63DA4">
        <w:rPr>
          <w:lang w:val="en-GB" w:eastAsia="nl-BE"/>
        </w:rPr>
        <w:t xml:space="preserve"> notes that with the adoption of the UNMIK Regulation No. 1999/1 on 25 July 1999 UNMIK undertook an obligation to observe internationally recognised human </w:t>
      </w:r>
      <w:r w:rsidRPr="00D63DA4">
        <w:rPr>
          <w:bCs/>
          <w:lang w:val="en-GB"/>
        </w:rPr>
        <w:t>rights</w:t>
      </w:r>
      <w:r w:rsidRPr="00D63DA4">
        <w:rPr>
          <w:lang w:val="en-GB" w:eastAsia="nl-BE"/>
        </w:rPr>
        <w:t xml:space="preserve"> standards in exercising its functions. This undertaking was detailed  in UNMIK Regulation No. 1999/24 of 12 December 1999, by which UNMIK assumed obligations under the following human rights instruments</w:t>
      </w:r>
      <w:r w:rsidRPr="00D63DA4">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D63DA4">
          <w:rPr>
            <w:rStyle w:val="Hyperlink"/>
            <w:color w:val="auto"/>
            <w:u w:val="none"/>
            <w:lang w:val="en-GB"/>
          </w:rPr>
          <w:t>the Convention Against Torture and Other Cruel, Inhuman or Degrading Treatment or Punishment</w:t>
        </w:r>
      </w:hyperlink>
      <w:r w:rsidRPr="00D63DA4">
        <w:rPr>
          <w:lang w:val="en-GB"/>
        </w:rPr>
        <w:t>, the Convention on the Rights of the Child.</w:t>
      </w:r>
      <w:bookmarkEnd w:id="31"/>
    </w:p>
    <w:p w:rsidR="003E3F85" w:rsidRPr="00D63DA4" w:rsidRDefault="003E3F85" w:rsidP="003E3F85">
      <w:pPr>
        <w:tabs>
          <w:tab w:val="left" w:pos="360"/>
        </w:tabs>
        <w:suppressAutoHyphens/>
        <w:autoSpaceDE w:val="0"/>
        <w:ind w:left="360" w:hanging="360"/>
        <w:jc w:val="both"/>
        <w:rPr>
          <w:lang w:val="en-GB"/>
        </w:rPr>
      </w:pPr>
      <w:bookmarkStart w:id="33" w:name="_Ref317493050"/>
    </w:p>
    <w:p w:rsidR="003E3F85" w:rsidRPr="00D63DA4" w:rsidRDefault="003E3F85" w:rsidP="003E3F85">
      <w:pPr>
        <w:numPr>
          <w:ilvl w:val="0"/>
          <w:numId w:val="2"/>
        </w:numPr>
        <w:suppressAutoHyphens/>
        <w:autoSpaceDE w:val="0"/>
        <w:jc w:val="both"/>
        <w:rPr>
          <w:lang w:val="en-GB"/>
        </w:rPr>
      </w:pPr>
      <w:bookmarkStart w:id="34" w:name="_Ref347495661"/>
      <w:r w:rsidRPr="00D63DA4">
        <w:rPr>
          <w:rFonts w:cs="CAGLHH+TimesNewRoman"/>
          <w:lang w:val="en-GB"/>
        </w:rPr>
        <w:t xml:space="preserve">The Panel also notes that Section 1.2 of </w:t>
      </w:r>
      <w:r w:rsidRPr="00D63DA4">
        <w:rPr>
          <w:bCs/>
          <w:lang w:val="en-GB"/>
        </w:rPr>
        <w:t xml:space="preserve">UNMIK Regulation No. 2006/12 of 23 March 2006 on the Establishment of the Human Rights Advisory Panel </w:t>
      </w:r>
      <w:r w:rsidRPr="00D63DA4">
        <w:rPr>
          <w:rFonts w:cs="CAGLHH+TimesNewRoman"/>
          <w:lang w:val="en-GB"/>
        </w:rPr>
        <w:t xml:space="preserve">provides that the Panel “shall examine complaints from any person or group of individuals claiming to be the victim of a </w:t>
      </w:r>
      <w:r w:rsidRPr="00D63DA4">
        <w:rPr>
          <w:rFonts w:cs="CAGLHH+TimesNewRoman"/>
          <w:lang w:val="en-GB"/>
        </w:rPr>
        <w:lastRenderedPageBreak/>
        <w:t xml:space="preserve">violation by UNMIK of (their) human rights”. It </w:t>
      </w:r>
      <w:r w:rsidRPr="00D63DA4">
        <w:rPr>
          <w:bCs/>
          <w:lang w:val="en-GB"/>
        </w:rPr>
        <w:t>follows</w:t>
      </w:r>
      <w:r w:rsidRPr="00D63DA4">
        <w:rPr>
          <w:rFonts w:cs="CAGLHH+TimesNewRoman"/>
          <w:lang w:val="en-GB"/>
        </w:rPr>
        <w:t xml:space="preserve"> that only acts or omissions attributable to UNMIK fall within the jurisdiction </w:t>
      </w:r>
      <w:r w:rsidRPr="00D63DA4">
        <w:rPr>
          <w:rFonts w:cs="CAGLHH+TimesNewRoman"/>
          <w:i/>
          <w:lang w:val="en-GB"/>
        </w:rPr>
        <w:t>ratione personae</w:t>
      </w:r>
      <w:r w:rsidRPr="00D63DA4">
        <w:rPr>
          <w:rFonts w:cs="CAGLHH+TimesNewRoman"/>
          <w:lang w:val="en-GB"/>
        </w:rPr>
        <w:t xml:space="preserve"> of the Panel. In this respect, it should be noted, as stated above, that as of </w:t>
      </w:r>
      <w:r w:rsidRPr="00D63DA4">
        <w:rPr>
          <w:lang w:val="en-GB"/>
        </w:rPr>
        <w:t xml:space="preserve">9 December 2008, UNMIK </w:t>
      </w:r>
      <w:r w:rsidRPr="00D63DA4">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D63DA4">
        <w:rPr>
          <w:bCs/>
          <w:i/>
          <w:lang w:val="en-GB"/>
        </w:rPr>
        <w:t>ratione personae</w:t>
      </w:r>
      <w:r w:rsidRPr="00D63DA4">
        <w:rPr>
          <w:bCs/>
          <w:lang w:val="en-GB"/>
        </w:rPr>
        <w:t xml:space="preserve"> of the Panel.</w:t>
      </w:r>
      <w:bookmarkEnd w:id="33"/>
      <w:bookmarkEnd w:id="34"/>
    </w:p>
    <w:p w:rsidR="003E3F85" w:rsidRPr="00D63DA4" w:rsidRDefault="003E3F85" w:rsidP="003E3F85">
      <w:pPr>
        <w:pStyle w:val="ListParagraph"/>
        <w:tabs>
          <w:tab w:val="left" w:pos="360"/>
        </w:tabs>
        <w:ind w:left="360" w:hanging="360"/>
        <w:rPr>
          <w:lang w:val="en-GB"/>
        </w:rPr>
      </w:pPr>
    </w:p>
    <w:p w:rsidR="003E3F85" w:rsidRPr="00D63DA4" w:rsidRDefault="003E3F85" w:rsidP="003E3F85">
      <w:pPr>
        <w:numPr>
          <w:ilvl w:val="0"/>
          <w:numId w:val="2"/>
        </w:numPr>
        <w:suppressAutoHyphens/>
        <w:autoSpaceDE w:val="0"/>
        <w:jc w:val="both"/>
        <w:rPr>
          <w:bCs/>
          <w:lang w:val="en-GB"/>
        </w:rPr>
      </w:pPr>
      <w:r w:rsidRPr="00D63DA4">
        <w:rPr>
          <w:rFonts w:cs="CAGLHH+TimesNewRoman"/>
          <w:lang w:val="en-GB"/>
        </w:rPr>
        <w:t xml:space="preserve">Likewise, the Panel emphasises that, as far as its jurisdiction </w:t>
      </w:r>
      <w:r w:rsidRPr="00D63DA4">
        <w:rPr>
          <w:rFonts w:cs="CAGLHH+TimesNewRoman"/>
          <w:i/>
          <w:lang w:val="en-GB"/>
        </w:rPr>
        <w:t>ratione materiae</w:t>
      </w:r>
      <w:r w:rsidRPr="00D63DA4">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Pr="00D63DA4">
        <w:fldChar w:fldCharType="begin"/>
      </w:r>
      <w:r w:rsidRPr="00D63DA4">
        <w:instrText xml:space="preserve"> REF _Ref347321462 \r \h  \* MERGEFORMAT </w:instrText>
      </w:r>
      <w:r w:rsidRPr="00D63DA4">
        <w:fldChar w:fldCharType="separate"/>
      </w:r>
      <w:r w:rsidR="00D90199" w:rsidRPr="00D90199">
        <w:rPr>
          <w:rFonts w:cs="CAGLHH+TimesNewRoman"/>
          <w:lang w:val="en-GB"/>
        </w:rPr>
        <w:t>37</w:t>
      </w:r>
      <w:r w:rsidRPr="00D63DA4">
        <w:fldChar w:fldCharType="end"/>
      </w:r>
      <w:r w:rsidRPr="00D63DA4">
        <w:rPr>
          <w:rFonts w:cs="CAGLHH+TimesNewRoman"/>
          <w:lang w:val="en-GB"/>
        </w:rPr>
        <w:t>).</w:t>
      </w:r>
      <w:r w:rsidRPr="00D63DA4">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p>
    <w:p w:rsidR="003E3F85" w:rsidRPr="00D63DA4" w:rsidRDefault="003E3F85" w:rsidP="003E3F85">
      <w:pPr>
        <w:pStyle w:val="ListParagraph"/>
        <w:tabs>
          <w:tab w:val="left" w:pos="360"/>
        </w:tabs>
        <w:ind w:left="360" w:hanging="360"/>
        <w:rPr>
          <w:bCs/>
          <w:lang w:val="en-GB"/>
        </w:rPr>
      </w:pPr>
    </w:p>
    <w:p w:rsidR="003E3F85" w:rsidRPr="00D63DA4" w:rsidRDefault="003E3F85" w:rsidP="003E3F85">
      <w:pPr>
        <w:numPr>
          <w:ilvl w:val="0"/>
          <w:numId w:val="2"/>
        </w:numPr>
        <w:tabs>
          <w:tab w:val="left" w:pos="630"/>
          <w:tab w:val="left" w:pos="2790"/>
        </w:tabs>
        <w:suppressAutoHyphens/>
        <w:autoSpaceDE w:val="0"/>
        <w:jc w:val="both"/>
        <w:rPr>
          <w:bCs/>
          <w:lang w:val="en-GB"/>
        </w:rPr>
      </w:pPr>
      <w:bookmarkStart w:id="35" w:name="_Ref346123885"/>
      <w:r w:rsidRPr="00D63DA4">
        <w:rPr>
          <w:bCs/>
          <w:lang w:val="en-GB"/>
        </w:rPr>
        <w:t>The Panel further notes that Section 2 of UNMIK Regulation No. 2006/12 provides that t</w:t>
      </w:r>
      <w:r w:rsidRPr="00D63DA4">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D63DA4">
        <w:rPr>
          <w:rFonts w:cs="CAGLHH+TimesNewRoman"/>
          <w:i/>
          <w:lang w:val="en-GB"/>
        </w:rPr>
        <w:t>ratione temporis</w:t>
      </w:r>
      <w:r w:rsidRPr="00D63DA4">
        <w:rPr>
          <w:rFonts w:cs="CAGLHH+TimesNewRoman"/>
          <w:lang w:val="en-GB"/>
        </w:rPr>
        <w:t xml:space="preserve"> of the Panel. However, to the extent that such events gave rise to a continuing situation, the Panel has jurisdiction to examine complaints relating to that situation</w:t>
      </w:r>
      <w:bookmarkEnd w:id="32"/>
      <w:r w:rsidRPr="00D63DA4">
        <w:rPr>
          <w:rFonts w:cs="CAGLHH+TimesNewRoman"/>
          <w:lang w:val="en-GB"/>
        </w:rPr>
        <w:t xml:space="preserve"> (see European Court of Human Rights (ECtHR), Grand Chamber [GC], </w:t>
      </w:r>
      <w:r w:rsidRPr="00D63DA4">
        <w:rPr>
          <w:rFonts w:cs="CAGLHH+TimesNewRoman"/>
          <w:i/>
          <w:lang w:val="en-GB"/>
        </w:rPr>
        <w:t>Varnava and Others v. Turkey</w:t>
      </w:r>
      <w:r w:rsidRPr="00D63DA4">
        <w:rPr>
          <w:rFonts w:cs="CAGLHH+TimesNewRoman"/>
          <w:lang w:val="en-GB"/>
        </w:rPr>
        <w:t xml:space="preserve">, nos. 16064/90 and others, judgment of 18 September 2009, §§ 147-149; ECtHR, </w:t>
      </w:r>
      <w:r w:rsidRPr="00D63DA4">
        <w:rPr>
          <w:rFonts w:cs="CAGLHH+TimesNewRoman"/>
          <w:i/>
          <w:lang w:val="en-GB"/>
        </w:rPr>
        <w:t xml:space="preserve">Cyprus v. Turkey </w:t>
      </w:r>
      <w:r w:rsidRPr="00D63DA4">
        <w:rPr>
          <w:rFonts w:cs="CAGLHH+TimesNewRoman"/>
          <w:lang w:val="en-GB"/>
        </w:rPr>
        <w:t xml:space="preserve">[GC] no. </w:t>
      </w:r>
      <w:r w:rsidRPr="00D63DA4">
        <w:rPr>
          <w:rStyle w:val="s85f22697"/>
          <w:lang w:val="en-GB"/>
        </w:rPr>
        <w:t>25781/94, judgment of 10 May 2001,</w:t>
      </w:r>
      <w:r w:rsidRPr="00D63DA4">
        <w:rPr>
          <w:rFonts w:cs="CAGLHH+TimesNewRoman"/>
          <w:lang w:val="en-GB"/>
        </w:rPr>
        <w:t xml:space="preserve"> § 136, ECHR 2001-IV).</w:t>
      </w:r>
      <w:bookmarkEnd w:id="35"/>
      <w:r w:rsidRPr="00D63DA4">
        <w:rPr>
          <w:rFonts w:cs="CAGLHH+TimesNewRoman"/>
          <w:lang w:val="en-GB"/>
        </w:rPr>
        <w:t xml:space="preserve"> </w:t>
      </w:r>
    </w:p>
    <w:p w:rsidR="003E3F85" w:rsidRPr="00D63DA4" w:rsidRDefault="003E3F85" w:rsidP="003E3F85">
      <w:pPr>
        <w:jc w:val="both"/>
        <w:rPr>
          <w:lang w:val="en-GB"/>
        </w:rPr>
      </w:pPr>
    </w:p>
    <w:p w:rsidR="003E3F85" w:rsidRPr="00D63DA4" w:rsidRDefault="003E3F85" w:rsidP="003E3F85">
      <w:pPr>
        <w:pStyle w:val="ListParagraph"/>
        <w:numPr>
          <w:ilvl w:val="1"/>
          <w:numId w:val="1"/>
        </w:numPr>
        <w:tabs>
          <w:tab w:val="clear" w:pos="360"/>
          <w:tab w:val="left" w:pos="357"/>
        </w:tabs>
        <w:autoSpaceDE w:val="0"/>
        <w:contextualSpacing/>
        <w:jc w:val="both"/>
        <w:rPr>
          <w:b/>
          <w:bCs/>
          <w:lang w:val="en-GB"/>
        </w:rPr>
      </w:pPr>
      <w:r w:rsidRPr="00D63DA4">
        <w:rPr>
          <w:b/>
          <w:bCs/>
          <w:lang w:val="en-GB"/>
        </w:rPr>
        <w:t xml:space="preserve">The Parties’ submissions </w:t>
      </w:r>
    </w:p>
    <w:p w:rsidR="003E3F85" w:rsidRPr="00D63DA4" w:rsidRDefault="003E3F85" w:rsidP="003E3F85">
      <w:pPr>
        <w:rPr>
          <w:b/>
          <w:lang w:val="en-GB"/>
        </w:rPr>
      </w:pPr>
    </w:p>
    <w:p w:rsidR="003E3F85" w:rsidRPr="00D63DA4" w:rsidRDefault="003E3F85" w:rsidP="003E3F85">
      <w:pPr>
        <w:numPr>
          <w:ilvl w:val="0"/>
          <w:numId w:val="2"/>
        </w:numPr>
        <w:suppressAutoHyphens/>
        <w:autoSpaceDE w:val="0"/>
        <w:jc w:val="both"/>
        <w:rPr>
          <w:lang w:val="en-GB"/>
        </w:rPr>
      </w:pPr>
      <w:r w:rsidRPr="00D63DA4">
        <w:rPr>
          <w:lang w:val="en-GB"/>
        </w:rPr>
        <w:t>The complainant in substance alleges a violation concerning the lack of an adequate criminal investigation into</w:t>
      </w:r>
      <w:r w:rsidR="002948A6" w:rsidRPr="00D63DA4">
        <w:rPr>
          <w:lang w:val="en-GB"/>
        </w:rPr>
        <w:t xml:space="preserve"> </w:t>
      </w:r>
      <w:r w:rsidR="00BF3546" w:rsidRPr="00D63DA4">
        <w:rPr>
          <w:lang w:val="en-GB"/>
        </w:rPr>
        <w:t>abduction</w:t>
      </w:r>
      <w:r w:rsidR="00D04174" w:rsidRPr="00D63DA4">
        <w:rPr>
          <w:lang w:val="en-GB"/>
        </w:rPr>
        <w:t xml:space="preserve"> and disappearance</w:t>
      </w:r>
      <w:r w:rsidR="00BF3546" w:rsidRPr="00D63DA4">
        <w:rPr>
          <w:lang w:val="en-GB"/>
        </w:rPr>
        <w:t xml:space="preserve"> of </w:t>
      </w:r>
      <w:r w:rsidR="00BF3546" w:rsidRPr="00D63DA4">
        <w:rPr>
          <w:bCs/>
          <w:lang w:val="en-GB"/>
        </w:rPr>
        <w:t xml:space="preserve">Mr Momir </w:t>
      </w:r>
      <w:r w:rsidR="00BF3546" w:rsidRPr="00D63DA4">
        <w:t>Milenković</w:t>
      </w:r>
      <w:r w:rsidR="002948A6" w:rsidRPr="00D63DA4">
        <w:rPr>
          <w:lang w:val="en-GB"/>
        </w:rPr>
        <w:t>.</w:t>
      </w:r>
    </w:p>
    <w:p w:rsidR="002948A6" w:rsidRPr="00D63DA4" w:rsidRDefault="002948A6" w:rsidP="002948A6">
      <w:pPr>
        <w:suppressAutoHyphens/>
        <w:autoSpaceDE w:val="0"/>
        <w:ind w:left="360"/>
        <w:jc w:val="both"/>
        <w:rPr>
          <w:lang w:val="en-GB"/>
        </w:rPr>
      </w:pPr>
    </w:p>
    <w:p w:rsidR="003E3F85" w:rsidRPr="00D63DA4" w:rsidRDefault="003E3F85" w:rsidP="003E3F85">
      <w:pPr>
        <w:numPr>
          <w:ilvl w:val="0"/>
          <w:numId w:val="2"/>
        </w:numPr>
        <w:suppressAutoHyphens/>
        <w:autoSpaceDE w:val="0"/>
        <w:jc w:val="both"/>
        <w:rPr>
          <w:bCs/>
          <w:lang w:val="en-GB"/>
        </w:rPr>
      </w:pPr>
      <w:r w:rsidRPr="00D63DA4">
        <w:rPr>
          <w:bCs/>
          <w:lang w:val="en-GB"/>
        </w:rPr>
        <w:t xml:space="preserve">In his comments on the merits of the complaint, the SRSG </w:t>
      </w:r>
      <w:r w:rsidRPr="00D63DA4">
        <w:rPr>
          <w:lang w:val="en-GB"/>
        </w:rPr>
        <w:t xml:space="preserve">does not dispute </w:t>
      </w:r>
      <w:r w:rsidRPr="00D63DA4">
        <w:rPr>
          <w:bCs/>
          <w:lang w:val="en-GB"/>
        </w:rPr>
        <w:t xml:space="preserve">that UNMIK had a responsibility to conduct an effective investigation into the </w:t>
      </w:r>
      <w:r w:rsidR="00BF3546" w:rsidRPr="00D63DA4">
        <w:rPr>
          <w:lang w:val="en-GB"/>
        </w:rPr>
        <w:t>abduction</w:t>
      </w:r>
      <w:r w:rsidR="00D04174" w:rsidRPr="00D63DA4">
        <w:rPr>
          <w:lang w:val="en-GB"/>
        </w:rPr>
        <w:t xml:space="preserve"> and disappearance</w:t>
      </w:r>
      <w:r w:rsidR="00BF3546" w:rsidRPr="00D63DA4">
        <w:rPr>
          <w:lang w:val="en-GB"/>
        </w:rPr>
        <w:t xml:space="preserve"> of </w:t>
      </w:r>
      <w:r w:rsidR="00BF3546" w:rsidRPr="00D63DA4">
        <w:rPr>
          <w:bCs/>
          <w:lang w:val="en-GB"/>
        </w:rPr>
        <w:t xml:space="preserve">Mr Momir </w:t>
      </w:r>
      <w:r w:rsidR="00BF3546" w:rsidRPr="00D63DA4">
        <w:t>Milenković</w:t>
      </w:r>
      <w:r w:rsidRPr="00D63DA4">
        <w:rPr>
          <w:b/>
          <w:bCs/>
          <w:lang w:val="en-GB"/>
        </w:rPr>
        <w:t>,</w:t>
      </w:r>
      <w:r w:rsidRPr="00D63DA4">
        <w:rPr>
          <w:bCs/>
          <w:lang w:val="en-GB"/>
        </w:rPr>
        <w:t xml:space="preserve"> in line with its general obligation to secure the effective implementation of the domestic laws which protect the right to life, given to it by UN Security Council Resolution 1244 (1999) (see § </w:t>
      </w:r>
      <w:r w:rsidRPr="00D63DA4">
        <w:fldChar w:fldCharType="begin"/>
      </w:r>
      <w:r w:rsidRPr="00D63DA4">
        <w:instrText xml:space="preserve"> REF _Ref373941473 \r \h  \* MERGEFORMAT </w:instrText>
      </w:r>
      <w:r w:rsidRPr="00D63DA4">
        <w:fldChar w:fldCharType="separate"/>
      </w:r>
      <w:r w:rsidR="00D90199" w:rsidRPr="00D90199">
        <w:rPr>
          <w:bCs/>
          <w:lang w:val="en-GB"/>
        </w:rPr>
        <w:t>9</w:t>
      </w:r>
      <w:r w:rsidRPr="00D63DA4">
        <w:fldChar w:fldCharType="end"/>
      </w:r>
      <w:r w:rsidRPr="00D63DA4">
        <w:rPr>
          <w:bCs/>
          <w:lang w:val="en-GB"/>
        </w:rPr>
        <w:t xml:space="preserve"> above) and further defined by UNMIK Regulation No. 1999/1 </w:t>
      </w:r>
      <w:r w:rsidRPr="00D63DA4">
        <w:rPr>
          <w:bCs/>
          <w:i/>
          <w:lang w:val="en-GB"/>
        </w:rPr>
        <w:t>On the Authority of the Interim Administration in Kosovo</w:t>
      </w:r>
      <w:r w:rsidRPr="00D63DA4">
        <w:rPr>
          <w:bCs/>
          <w:lang w:val="en-GB"/>
        </w:rPr>
        <w:t xml:space="preserve"> and subsequently, UNMIK Regulation 1999/24 </w:t>
      </w:r>
      <w:r w:rsidRPr="00D63DA4">
        <w:rPr>
          <w:bCs/>
          <w:i/>
          <w:lang w:val="en-GB"/>
        </w:rPr>
        <w:t>On the Law Applicable in Kosovo,</w:t>
      </w:r>
      <w:r w:rsidRPr="00D63DA4">
        <w:rPr>
          <w:bCs/>
          <w:lang w:val="en-GB"/>
        </w:rPr>
        <w:t xml:space="preserve"> and Article 2 of the ECHR.</w:t>
      </w:r>
    </w:p>
    <w:p w:rsidR="003E3F85" w:rsidRPr="00D63DA4" w:rsidRDefault="003E3F85" w:rsidP="003E3F85">
      <w:pPr>
        <w:suppressAutoHyphens/>
        <w:autoSpaceDE w:val="0"/>
        <w:ind w:left="360"/>
        <w:jc w:val="both"/>
        <w:rPr>
          <w:bCs/>
          <w:lang w:val="en-GB"/>
        </w:rPr>
      </w:pPr>
    </w:p>
    <w:p w:rsidR="003E3F85" w:rsidRPr="00D63DA4" w:rsidRDefault="003E3F85" w:rsidP="003E3F85">
      <w:pPr>
        <w:numPr>
          <w:ilvl w:val="0"/>
          <w:numId w:val="2"/>
        </w:numPr>
        <w:suppressAutoHyphens/>
        <w:autoSpaceDE w:val="0"/>
        <w:jc w:val="both"/>
        <w:rPr>
          <w:bCs/>
          <w:lang w:val="en-GB"/>
        </w:rPr>
      </w:pPr>
      <w:r w:rsidRPr="00D63DA4">
        <w:t>In this regard, the SRSG stresses that this responsibility stems from the procedural obligation under Article 2 of the ECHR to conduct an effective investigation where death occurs in suspicious circumstances not imputable to State agents.</w:t>
      </w:r>
      <w:bookmarkStart w:id="36" w:name="_Ref347846976"/>
      <w:r w:rsidRPr="00D63DA4">
        <w:rPr>
          <w:bCs/>
          <w:lang w:val="en-GB"/>
        </w:rPr>
        <w:t xml:space="preserve"> He argues that, in general, when </w:t>
      </w:r>
      <w:r w:rsidRPr="00D63DA4">
        <w:rPr>
          <w:bCs/>
          <w:lang w:val="en-GB"/>
        </w:rPr>
        <w:lastRenderedPageBreak/>
        <w:t>considering whether UNMIK has satisfied its procedural obligations under Article 2 of the ECHR, the Panel must take into consideration the special circumstances in Kosovo at the time.</w:t>
      </w:r>
      <w:bookmarkEnd w:id="36"/>
    </w:p>
    <w:p w:rsidR="00BD43B1" w:rsidRPr="00D63DA4" w:rsidRDefault="00BD43B1" w:rsidP="00BD43B1">
      <w:pPr>
        <w:pStyle w:val="ListParagraph"/>
        <w:rPr>
          <w:bCs/>
          <w:lang w:val="en-GB"/>
        </w:rPr>
      </w:pPr>
    </w:p>
    <w:p w:rsidR="00BD43B1" w:rsidRPr="00D63DA4" w:rsidRDefault="00BD43B1" w:rsidP="00BD43B1">
      <w:pPr>
        <w:numPr>
          <w:ilvl w:val="0"/>
          <w:numId w:val="2"/>
        </w:numPr>
        <w:tabs>
          <w:tab w:val="left" w:pos="709"/>
        </w:tabs>
        <w:suppressAutoHyphens/>
        <w:autoSpaceDE w:val="0"/>
        <w:jc w:val="both"/>
        <w:rPr>
          <w:lang w:eastAsia="nl-NL"/>
        </w:rPr>
      </w:pPr>
      <w:r w:rsidRPr="00D63DA4">
        <w:t xml:space="preserve">The </w:t>
      </w:r>
      <w:r w:rsidRPr="00D63DA4">
        <w:rPr>
          <w:bCs/>
          <w:lang w:val="en-GB"/>
        </w:rPr>
        <w:t>SRSG</w:t>
      </w:r>
      <w:r w:rsidRPr="00D63DA4">
        <w:t xml:space="preserve"> considers that the obligation is two-fold, including an obligation to determine through investigation the fate and/or whereabouts of the dead person; and an obligation to conduct an investigation capable of determining whether the death was caused unlawfully and leading to the identification and punishment of those responsible for the disappearance and/or death of the missing person.</w:t>
      </w:r>
    </w:p>
    <w:p w:rsidR="003E3F85" w:rsidRPr="00D63DA4" w:rsidRDefault="003E3F85" w:rsidP="003E3F85">
      <w:pPr>
        <w:pStyle w:val="ListParagraph"/>
        <w:rPr>
          <w:lang w:val="en-GB"/>
        </w:rPr>
      </w:pPr>
    </w:p>
    <w:p w:rsidR="003E3F85" w:rsidRPr="00D63DA4" w:rsidRDefault="003E3F85" w:rsidP="003E3F85">
      <w:pPr>
        <w:numPr>
          <w:ilvl w:val="0"/>
          <w:numId w:val="2"/>
        </w:numPr>
        <w:tabs>
          <w:tab w:val="left" w:pos="709"/>
        </w:tabs>
        <w:suppressAutoHyphens/>
        <w:autoSpaceDE w:val="0"/>
        <w:jc w:val="both"/>
        <w:rPr>
          <w:bCs/>
          <w:lang w:val="en-GB"/>
        </w:rPr>
      </w:pPr>
      <w:r w:rsidRPr="00D63DA4">
        <w:rPr>
          <w:lang w:val="en-GB"/>
        </w:rPr>
        <w:t>The SRSG adds that in June 1999, “the security situation in post-conflict Kosovo remained tense. KFOR was still in the process of reaching sufficient strength to maintain public safety and law and order and there were a number of serious criminal incidents targeting Kosovo-Serbs, including abductions and killings.”</w:t>
      </w:r>
    </w:p>
    <w:p w:rsidR="003E3F85" w:rsidRPr="00D63DA4" w:rsidRDefault="003E3F85" w:rsidP="00BD43B1">
      <w:pPr>
        <w:rPr>
          <w:lang w:val="en-GB"/>
        </w:rPr>
      </w:pPr>
    </w:p>
    <w:p w:rsidR="003E3F85" w:rsidRPr="00D63DA4" w:rsidRDefault="003E3F85" w:rsidP="003E3F85">
      <w:pPr>
        <w:numPr>
          <w:ilvl w:val="0"/>
          <w:numId w:val="2"/>
        </w:numPr>
        <w:tabs>
          <w:tab w:val="left" w:pos="709"/>
        </w:tabs>
        <w:suppressAutoHyphens/>
        <w:autoSpaceDE w:val="0"/>
        <w:jc w:val="both"/>
        <w:rPr>
          <w:lang w:eastAsia="nl-NL"/>
        </w:rPr>
      </w:pPr>
      <w:bookmarkStart w:id="37" w:name="_Ref368311784"/>
      <w:r w:rsidRPr="00D63DA4">
        <w:rPr>
          <w:bCs/>
        </w:rPr>
        <w:t xml:space="preserve">The SRSG argues that </w:t>
      </w:r>
      <w:r w:rsidRPr="00D63DA4">
        <w:rPr>
          <w:lang w:val="en-GB"/>
        </w:rPr>
        <w:t>in</w:t>
      </w:r>
      <w:r w:rsidRPr="00D63DA4">
        <w:rPr>
          <w:bCs/>
        </w:rPr>
        <w:t xml:space="preserve"> its case-law on Article 2, the European Court of Human Rights has stated </w:t>
      </w:r>
      <w:r w:rsidRPr="00D63DA4">
        <w:rPr>
          <w:bCs/>
          <w:lang w:val="en-GB"/>
        </w:rPr>
        <w:t>that</w:t>
      </w:r>
      <w:r w:rsidRPr="00D63DA4">
        <w:rPr>
          <w:bCs/>
        </w:rPr>
        <w:t xml:space="preserve"> due consideration shall be given to the difficulties inherent to post-conflict situations and the problems limiting the ability of investigating authorities</w:t>
      </w:r>
      <w:r w:rsidR="00711C23" w:rsidRPr="00D63DA4">
        <w:rPr>
          <w:bCs/>
        </w:rPr>
        <w:t xml:space="preserve"> when conducting investigations in</w:t>
      </w:r>
      <w:r w:rsidRPr="00D63DA4">
        <w:rPr>
          <w:bCs/>
        </w:rPr>
        <w:t xml:space="preserve"> such cases. </w:t>
      </w:r>
      <w:r w:rsidRPr="00D63DA4">
        <w:t xml:space="preserve">In this regard, the SRSG recalls the judgment of 15 February 2011 rendered by the European Court in the case </w:t>
      </w:r>
      <w:r w:rsidRPr="00D63DA4">
        <w:rPr>
          <w:i/>
        </w:rPr>
        <w:t>Palić v. Bosnia and Herzegovina</w:t>
      </w:r>
      <w:r w:rsidR="00711C23" w:rsidRPr="00D63DA4">
        <w:rPr>
          <w:i/>
        </w:rPr>
        <w:t>,</w:t>
      </w:r>
      <w:r w:rsidRPr="00D63DA4">
        <w:t xml:space="preserve"> stating at paragraph 70:</w:t>
      </w:r>
      <w:bookmarkEnd w:id="37"/>
    </w:p>
    <w:p w:rsidR="003E3F85" w:rsidRPr="00D63DA4" w:rsidRDefault="003E3F85" w:rsidP="003E3F85">
      <w:pPr>
        <w:pStyle w:val="ListParagraph"/>
        <w:rPr>
          <w:lang w:eastAsia="nl-NL"/>
        </w:rPr>
      </w:pPr>
    </w:p>
    <w:p w:rsidR="003E3F85" w:rsidRPr="00D63DA4" w:rsidRDefault="003E3F85" w:rsidP="00CB1DF7">
      <w:pPr>
        <w:ind w:left="862" w:right="567"/>
        <w:jc w:val="both"/>
        <w:rPr>
          <w:lang w:eastAsia="nl-NL"/>
        </w:rPr>
      </w:pPr>
      <w:r w:rsidRPr="00D63DA4">
        <w:rPr>
          <w:lang w:eastAsia="nl-NL"/>
        </w:rPr>
        <w:t xml:space="preserve">“The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w:t>
      </w:r>
      <w:r w:rsidRPr="00CB1DF7">
        <w:rPr>
          <w:lang w:val="en-GB" w:eastAsia="en-GB"/>
        </w:rPr>
        <w:t>Bosnia</w:t>
      </w:r>
      <w:r w:rsidRPr="00D63DA4">
        <w:rPr>
          <w:lang w:eastAsia="nl-NL"/>
        </w:rPr>
        <w:t xml:space="preserve"> and Herzegovina. Inevitably choices had to be made in terms of post-war priorities and resources […].”</w:t>
      </w:r>
    </w:p>
    <w:p w:rsidR="003E3F85" w:rsidRPr="00D63DA4" w:rsidRDefault="003E3F85" w:rsidP="003E3F85">
      <w:pPr>
        <w:pStyle w:val="ListParagraph"/>
        <w:rPr>
          <w:lang w:eastAsia="en-US"/>
        </w:rPr>
      </w:pPr>
    </w:p>
    <w:p w:rsidR="003E3F85" w:rsidRPr="00D63DA4" w:rsidRDefault="003E3F85" w:rsidP="003E3F85">
      <w:pPr>
        <w:numPr>
          <w:ilvl w:val="0"/>
          <w:numId w:val="2"/>
        </w:numPr>
        <w:tabs>
          <w:tab w:val="left" w:pos="709"/>
        </w:tabs>
        <w:suppressAutoHyphens/>
        <w:autoSpaceDE w:val="0"/>
        <w:jc w:val="both"/>
        <w:rPr>
          <w:lang w:eastAsia="nl-NL"/>
        </w:rPr>
      </w:pPr>
      <w:r w:rsidRPr="00D63DA4">
        <w:t xml:space="preserve">In the </w:t>
      </w:r>
      <w:r w:rsidRPr="00D63DA4">
        <w:rPr>
          <w:bCs/>
          <w:lang w:val="en-GB"/>
        </w:rPr>
        <w:t>view</w:t>
      </w:r>
      <w:r w:rsidRPr="00D63DA4">
        <w:t xml:space="preserve"> of the SRSG, in the aftermath of the Kosovo conflict, UNMIK was faced with a similar situation as the one in Bosnia. Many of those persons who were unaccounted for were abducted, killed and buried in unmarked graves inside or outside of Kosovo, which made very difficult locating and recovering their mortal remains.</w:t>
      </w:r>
    </w:p>
    <w:p w:rsidR="003E3F85" w:rsidRPr="00D63DA4" w:rsidRDefault="003E3F85" w:rsidP="003E3F85">
      <w:pPr>
        <w:pStyle w:val="Default"/>
        <w:tabs>
          <w:tab w:val="left" w:pos="720"/>
        </w:tabs>
        <w:ind w:left="360"/>
        <w:jc w:val="both"/>
        <w:rPr>
          <w:color w:val="auto"/>
          <w:lang w:val="en-GB"/>
        </w:rPr>
      </w:pPr>
      <w:bookmarkStart w:id="38" w:name="_Ref373834452"/>
    </w:p>
    <w:p w:rsidR="003E3F85" w:rsidRPr="00D63DA4" w:rsidRDefault="003E3F85" w:rsidP="003E3F85">
      <w:pPr>
        <w:numPr>
          <w:ilvl w:val="0"/>
          <w:numId w:val="2"/>
        </w:numPr>
        <w:tabs>
          <w:tab w:val="left" w:pos="709"/>
        </w:tabs>
        <w:suppressAutoHyphens/>
        <w:autoSpaceDE w:val="0"/>
        <w:jc w:val="both"/>
      </w:pPr>
      <w:bookmarkStart w:id="39" w:name="_Ref373935636"/>
      <w:r w:rsidRPr="00D63DA4">
        <w:rPr>
          <w:lang w:val="en-GB"/>
        </w:rPr>
        <w:t xml:space="preserve">The SRSG explains that in June 2002, UNMIK created the OMPF with the mandate to </w:t>
      </w:r>
      <w:r w:rsidRPr="00D63DA4">
        <w:rPr>
          <w:bCs/>
          <w:lang w:val="en-GB"/>
        </w:rPr>
        <w:t>determine</w:t>
      </w:r>
      <w:r w:rsidRPr="00D63DA4">
        <w:rPr>
          <w:lang w:val="en-GB"/>
        </w:rPr>
        <w:t xml:space="preserve"> the fate of the missing; however its work was faced with many challenges at the beginning of the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the ICTY launched a large, centralised forensic operation, based at the Rahovec/Orahovac mortuary, with standard operating procedures for all forensic teams except the British one, which operated independently out of Prishtinë/Priština. The SRSG states that, in the effort to </w:t>
      </w:r>
      <w:r w:rsidRPr="00D63DA4">
        <w:rPr>
          <w:lang w:val="en-GB"/>
        </w:rPr>
        <w:lastRenderedPageBreak/>
        <w:t>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“ex-officio, without any broader prosecutorial strategy”. As a consequence, a large amount of unstructured information was collected. The SRSG states that, taking into account the difficulties described above, the process “for establishing a system capable of dealing effectively with disappearances and other serious violations of international humanitarian law has been an</w:t>
      </w:r>
      <w:r w:rsidR="00237A05" w:rsidRPr="00D63DA4">
        <w:rPr>
          <w:lang w:val="en-GB"/>
        </w:rPr>
        <w:t xml:space="preserve"> understandably</w:t>
      </w:r>
      <w:r w:rsidRPr="00D63DA4">
        <w:rPr>
          <w:lang w:val="en-GB"/>
        </w:rPr>
        <w:t xml:space="preserve"> incremental one in the Kosovo context, and this principle has been reflected in the </w:t>
      </w:r>
      <w:r w:rsidRPr="00D63DA4">
        <w:rPr>
          <w:i/>
          <w:lang w:val="en-GB"/>
        </w:rPr>
        <w:t>Palić</w:t>
      </w:r>
      <w:r w:rsidRPr="00D63DA4">
        <w:rPr>
          <w:lang w:val="en-GB"/>
        </w:rPr>
        <w:t xml:space="preserve"> case</w:t>
      </w:r>
      <w:r w:rsidR="00237A05" w:rsidRPr="00D63DA4">
        <w:rPr>
          <w:lang w:val="en-GB"/>
        </w:rPr>
        <w:t xml:space="preserve"> abovementioned</w:t>
      </w:r>
      <w:r w:rsidRPr="00D63DA4">
        <w:rPr>
          <w:lang w:val="en-GB"/>
        </w:rPr>
        <w:t xml:space="preserve">.” The SRSG </w:t>
      </w:r>
      <w:r w:rsidR="00711C23" w:rsidRPr="00D63DA4">
        <w:t>adds</w:t>
      </w:r>
      <w:r w:rsidRPr="00D63DA4">
        <w:rPr>
          <w:lang w:val="en-GB"/>
        </w:rPr>
        <w:t xml:space="preserve"> that the process was reliant upon a number of actors other than just UNMIK, for example the ICMP, the ICRC and local missing </w:t>
      </w:r>
      <w:proofErr w:type="gramStart"/>
      <w:r w:rsidRPr="00D63DA4">
        <w:rPr>
          <w:lang w:val="en-GB"/>
        </w:rPr>
        <w:t>persons</w:t>
      </w:r>
      <w:proofErr w:type="gramEnd"/>
      <w:r w:rsidRPr="00D63DA4">
        <w:rPr>
          <w:lang w:val="en-GB"/>
        </w:rPr>
        <w:t xml:space="preserve"> organisations. </w:t>
      </w:r>
      <w:bookmarkEnd w:id="38"/>
      <w:bookmarkEnd w:id="39"/>
    </w:p>
    <w:p w:rsidR="003E3F85" w:rsidRPr="00D63DA4" w:rsidRDefault="003E3F85" w:rsidP="003E3F85">
      <w:pPr>
        <w:pStyle w:val="ListParagraph"/>
        <w:autoSpaceDE w:val="0"/>
        <w:ind w:left="450"/>
        <w:jc w:val="both"/>
      </w:pPr>
    </w:p>
    <w:p w:rsidR="003E3F85" w:rsidRPr="00D63DA4" w:rsidRDefault="003E3F85" w:rsidP="003E3F85">
      <w:pPr>
        <w:numPr>
          <w:ilvl w:val="0"/>
          <w:numId w:val="2"/>
        </w:numPr>
        <w:tabs>
          <w:tab w:val="left" w:pos="709"/>
        </w:tabs>
        <w:suppressAutoHyphens/>
        <w:autoSpaceDE w:val="0"/>
        <w:jc w:val="both"/>
        <w:rPr>
          <w:lang w:eastAsia="nl-NL"/>
        </w:rPr>
      </w:pPr>
      <w:bookmarkStart w:id="40" w:name="_Ref373942084"/>
      <w:r w:rsidRPr="00D63DA4">
        <w:t xml:space="preserve">The </w:t>
      </w:r>
      <w:r w:rsidRPr="00D63DA4">
        <w:rPr>
          <w:bCs/>
          <w:lang w:val="en-GB"/>
        </w:rPr>
        <w:t>SRSG</w:t>
      </w:r>
      <w:r w:rsidRPr="00D63DA4">
        <w:t xml:space="preserve"> further argues that fundamental to conducting effective investigations is a professional, well-trained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40"/>
    </w:p>
    <w:p w:rsidR="003E3F85" w:rsidRPr="00D63DA4" w:rsidRDefault="003E3F85" w:rsidP="003E3F85">
      <w:pPr>
        <w:pStyle w:val="ListParagraph"/>
        <w:rPr>
          <w:lang w:eastAsia="nl-NL"/>
        </w:rPr>
      </w:pPr>
    </w:p>
    <w:p w:rsidR="003E3F85" w:rsidRPr="00D63DA4" w:rsidRDefault="003E3F85" w:rsidP="00CB1DF7">
      <w:pPr>
        <w:ind w:left="862" w:right="567"/>
        <w:jc w:val="both"/>
        <w:rPr>
          <w:lang w:eastAsia="nl-NL"/>
        </w:rPr>
      </w:pPr>
      <w:r w:rsidRPr="00D63DA4">
        <w:rPr>
          <w:lang w:eastAsia="nl-NL"/>
        </w:rPr>
        <w:t xml:space="preserve">“UNMIK Police had to deal with the aftermath of war, with dead bodies and the looted and burned houses. </w:t>
      </w:r>
      <w:r w:rsidRPr="00CB1DF7">
        <w:rPr>
          <w:lang w:val="en-GB" w:eastAsia="en-GB"/>
        </w:rPr>
        <w:t>Ethnic</w:t>
      </w:r>
      <w:r w:rsidRPr="00D63DA4">
        <w:rPr>
          <w:lang w:eastAsia="nl-NL"/>
        </w:rPr>
        <w:t xml:space="preserve">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3E3F85" w:rsidRPr="00D63DA4" w:rsidRDefault="003E3F85" w:rsidP="003E3F85">
      <w:pPr>
        <w:pStyle w:val="ListParagraph"/>
        <w:jc w:val="both"/>
        <w:rPr>
          <w:lang w:eastAsia="nl-NL"/>
        </w:rPr>
      </w:pPr>
    </w:p>
    <w:p w:rsidR="003E3F85" w:rsidRPr="00D63DA4" w:rsidRDefault="003E3F85" w:rsidP="00CB1DF7">
      <w:pPr>
        <w:ind w:left="862" w:right="567"/>
        <w:jc w:val="both"/>
        <w:rPr>
          <w:lang w:eastAsia="nl-NL"/>
        </w:rPr>
      </w:pPr>
      <w:r w:rsidRPr="00D63DA4">
        <w:rPr>
          <w:lang w:eastAsia="nl-NL"/>
        </w:rPr>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rsidR="003E3F85" w:rsidRPr="00D63DA4" w:rsidRDefault="003E3F85" w:rsidP="003E3F85">
      <w:pPr>
        <w:pStyle w:val="ListParagraph"/>
        <w:rPr>
          <w:lang w:eastAsia="en-US"/>
        </w:rPr>
      </w:pPr>
    </w:p>
    <w:p w:rsidR="003E3F85" w:rsidRPr="00D63DA4" w:rsidRDefault="003E3F85" w:rsidP="003E3F85">
      <w:pPr>
        <w:numPr>
          <w:ilvl w:val="0"/>
          <w:numId w:val="2"/>
        </w:numPr>
        <w:tabs>
          <w:tab w:val="left" w:pos="709"/>
        </w:tabs>
        <w:suppressAutoHyphens/>
        <w:autoSpaceDE w:val="0"/>
        <w:jc w:val="both"/>
        <w:rPr>
          <w:lang w:eastAsia="nl-NL"/>
        </w:rPr>
      </w:pPr>
      <w:r w:rsidRPr="00D63DA4">
        <w:t xml:space="preserve">The SRSG states that UNMIK international police officers had to adjust to conducting </w:t>
      </w:r>
      <w:r w:rsidRPr="00D63DA4">
        <w:rPr>
          <w:bCs/>
          <w:lang w:val="en-GB"/>
        </w:rPr>
        <w:t>investigations</w:t>
      </w:r>
      <w:r w:rsidRPr="00D63DA4">
        <w:t xml:space="preserve"> in a foreign territory and country, with limited support from the still developing Kosovo Police. He further states that these investigators were often faced with situations where individuals holding relevant knowledge on the whereabouts and fate of missing persons did not want to disclose this information. According to the SRSG, “</w:t>
      </w:r>
      <w:r w:rsidR="002948A6" w:rsidRPr="00D63DA4">
        <w:t>[</w:t>
      </w:r>
      <w:r w:rsidRPr="00D63DA4">
        <w:t>s</w:t>
      </w:r>
      <w:r w:rsidR="002948A6" w:rsidRPr="00D63DA4">
        <w:t>]</w:t>
      </w:r>
      <w:r w:rsidRPr="00D63DA4">
        <w:t>uch constraints inhibited the ability of</w:t>
      </w:r>
      <w:r w:rsidR="002948A6" w:rsidRPr="00D63DA4">
        <w:t xml:space="preserve"> an institution such as</w:t>
      </w:r>
      <w:r w:rsidRPr="00D63DA4">
        <w:t xml:space="preserve"> UNMIK Police</w:t>
      </w:r>
      <w:r w:rsidR="00A437DF" w:rsidRPr="00D63DA4">
        <w:t xml:space="preserve"> to conduct</w:t>
      </w:r>
      <w:r w:rsidR="002948A6" w:rsidRPr="00D63DA4">
        <w:t xml:space="preserve"> all</w:t>
      </w:r>
      <w:r w:rsidRPr="00D63DA4">
        <w:t xml:space="preserve"> investigation</w:t>
      </w:r>
      <w:r w:rsidR="002948A6" w:rsidRPr="00D63DA4">
        <w:t>s in a manner […] that</w:t>
      </w:r>
      <w:r w:rsidRPr="00D63DA4">
        <w:t xml:space="preserve"> may be demonstrated, or</w:t>
      </w:r>
      <w:r w:rsidR="002948A6" w:rsidRPr="00D63DA4">
        <w:t xml:space="preserve"> at least</w:t>
      </w:r>
      <w:r w:rsidRPr="00D63DA4">
        <w:t xml:space="preserve"> expected,</w:t>
      </w:r>
      <w:r w:rsidR="00A437DF" w:rsidRPr="00D63DA4">
        <w:t xml:space="preserve"> in</w:t>
      </w:r>
      <w:r w:rsidR="002948A6" w:rsidRPr="00D63DA4">
        <w:t xml:space="preserve"> other</w:t>
      </w:r>
      <w:r w:rsidRPr="00D63DA4">
        <w:t xml:space="preserve"> States with</w:t>
      </w:r>
      <w:r w:rsidR="002948A6" w:rsidRPr="00D63DA4">
        <w:t xml:space="preserve"> more</w:t>
      </w:r>
      <w:r w:rsidRPr="00D63DA4">
        <w:t xml:space="preserve"> established</w:t>
      </w:r>
      <w:r w:rsidR="00A437DF" w:rsidRPr="00D63DA4">
        <w:t xml:space="preserve"> </w:t>
      </w:r>
      <w:r w:rsidRPr="00D63DA4">
        <w:t>institutions</w:t>
      </w:r>
      <w:r w:rsidR="00A437DF" w:rsidRPr="00D63DA4">
        <w:t xml:space="preserve"> and without the surge in cases of this nature</w:t>
      </w:r>
      <w:r w:rsidRPr="00D63DA4">
        <w:t xml:space="preserve"> </w:t>
      </w:r>
      <w:r w:rsidR="00A437DF" w:rsidRPr="00D63DA4">
        <w:t>associated with a post-conflict situation</w:t>
      </w:r>
      <w:r w:rsidRPr="00D63DA4">
        <w:t>.”</w:t>
      </w:r>
      <w:bookmarkStart w:id="41" w:name="_Ref387249369"/>
      <w:bookmarkStart w:id="42" w:name="_Ref373946471"/>
      <w:bookmarkStart w:id="43" w:name="_Ref366698716"/>
    </w:p>
    <w:p w:rsidR="003E3F85" w:rsidRPr="00D63DA4" w:rsidRDefault="003E3F85" w:rsidP="003E3F85">
      <w:pPr>
        <w:tabs>
          <w:tab w:val="left" w:pos="709"/>
        </w:tabs>
        <w:suppressAutoHyphens/>
        <w:autoSpaceDE w:val="0"/>
        <w:ind w:left="360"/>
        <w:jc w:val="both"/>
        <w:rPr>
          <w:lang w:eastAsia="nl-NL"/>
        </w:rPr>
      </w:pPr>
    </w:p>
    <w:p w:rsidR="005949E2" w:rsidRPr="00D63DA4" w:rsidRDefault="003E3F85" w:rsidP="00D705B2">
      <w:pPr>
        <w:numPr>
          <w:ilvl w:val="0"/>
          <w:numId w:val="2"/>
        </w:numPr>
        <w:tabs>
          <w:tab w:val="left" w:pos="709"/>
        </w:tabs>
        <w:suppressAutoHyphens/>
        <w:autoSpaceDE w:val="0"/>
        <w:jc w:val="both"/>
      </w:pPr>
      <w:bookmarkStart w:id="44" w:name="_Ref397946236"/>
      <w:bookmarkStart w:id="45" w:name="_Ref390942754"/>
      <w:r w:rsidRPr="00D63DA4">
        <w:rPr>
          <w:bCs/>
          <w:lang w:val="en-GB"/>
        </w:rPr>
        <w:t>With</w:t>
      </w:r>
      <w:r w:rsidR="005949E2" w:rsidRPr="00D63DA4">
        <w:t xml:space="preserve"> regard to this</w:t>
      </w:r>
      <w:r w:rsidRPr="00D63DA4">
        <w:t xml:space="preserve"> case, </w:t>
      </w:r>
      <w:r w:rsidR="005949E2" w:rsidRPr="00D63DA4">
        <w:t xml:space="preserve">as a general matter, the SRSG argues that the files it received from </w:t>
      </w:r>
      <w:r w:rsidR="002D73EB" w:rsidRPr="00D63DA4">
        <w:t xml:space="preserve">the </w:t>
      </w:r>
      <w:r w:rsidR="005949E2" w:rsidRPr="00D63DA4">
        <w:t>EULEX WCIU concerning the British KFOR records and court documents are not relevant to this matter. He states “According to the British KFOR records and court documents, Mr. Milenković was killed at the crime scene and his body recovered by KFOR on the same day and taken to the mortuary at the Pristina University Hospital a few hours later. In contrary, according to the complainant, Mr. Milenković was abducted from the family home, in the presence of other Milenković family members and of a Kosovo Albanian neighbor, and then taken in an unknown direction. According to the complainant and the OMPF files, Mr. Milenković’s whereabouts are unknown until today.” The SRSG argues that taking this into account, only the OMPF files are relevant in determining a possible violation of Article</w:t>
      </w:r>
      <w:r w:rsidR="002D73EB" w:rsidRPr="00D63DA4">
        <w:t>s</w:t>
      </w:r>
      <w:r w:rsidR="005949E2" w:rsidRPr="00D63DA4">
        <w:t xml:space="preserve"> 2 and 3 of the ECHR.</w:t>
      </w:r>
    </w:p>
    <w:p w:rsidR="005949E2" w:rsidRPr="00D63DA4" w:rsidRDefault="005949E2" w:rsidP="005949E2">
      <w:pPr>
        <w:pStyle w:val="ListParagraph"/>
      </w:pPr>
    </w:p>
    <w:p w:rsidR="003E3F85" w:rsidRPr="00D63DA4" w:rsidRDefault="005949E2" w:rsidP="005949E2">
      <w:pPr>
        <w:numPr>
          <w:ilvl w:val="0"/>
          <w:numId w:val="2"/>
        </w:numPr>
        <w:tabs>
          <w:tab w:val="left" w:pos="709"/>
        </w:tabs>
        <w:suppressAutoHyphens/>
        <w:autoSpaceDE w:val="0"/>
        <w:jc w:val="both"/>
      </w:pPr>
      <w:r w:rsidRPr="00D63DA4">
        <w:rPr>
          <w:bCs/>
          <w:lang w:val="en-GB"/>
        </w:rPr>
        <w:t>With</w:t>
      </w:r>
      <w:r w:rsidRPr="00D63DA4">
        <w:t xml:space="preserve"> regard to this particular case, </w:t>
      </w:r>
      <w:r w:rsidR="003E3F85" w:rsidRPr="00D63DA4">
        <w:t xml:space="preserve">in relation to the first leg of the obligation related to the procedural element of Article 2 of the ECHR, the SRSG </w:t>
      </w:r>
      <w:r w:rsidR="009A0604" w:rsidRPr="00D63DA4">
        <w:t>argues</w:t>
      </w:r>
      <w:r w:rsidR="003E3F85" w:rsidRPr="00D63DA4">
        <w:t xml:space="preserve"> that “</w:t>
      </w:r>
      <w:r w:rsidR="00BF3546" w:rsidRPr="00D63DA4">
        <w:t xml:space="preserve">there is only very little information in the files which would lead to the conclusion that necessary activities were carried out by UNMIK Police with regard to the possible location of the mortal remains of the missing person. Although a ‘Victim Identification Form’ was completed and the case was duly registered in the Missing Person Unit (MPU) database, it is not known whether DNA samples were collected from the family members.” He also argues “[u]nfortunately, until today, the mortal remains of Mr. Momir Milenković could not be discovered and identified. It must be assumed that there was no information available for UNMIK Police/OMPF, which could have </w:t>
      </w:r>
      <w:proofErr w:type="spellStart"/>
      <w:r w:rsidR="00BF3546" w:rsidRPr="00D63DA4">
        <w:t>lead</w:t>
      </w:r>
      <w:proofErr w:type="spellEnd"/>
      <w:r w:rsidR="00BF3546" w:rsidRPr="00D63DA4">
        <w:t xml:space="preserve"> to a specific location. For this reason, no failure with regard to the investigation into the possible location of Mr. Momir Milenković can be attributed to UNMIK</w:t>
      </w:r>
      <w:r w:rsidR="002948A6" w:rsidRPr="00D63DA4">
        <w:rPr>
          <w:lang w:val="en-GB"/>
        </w:rPr>
        <w:t>.”</w:t>
      </w:r>
      <w:bookmarkEnd w:id="44"/>
      <w:r w:rsidR="00D705B2" w:rsidRPr="00D63DA4">
        <w:t xml:space="preserve"> </w:t>
      </w:r>
      <w:bookmarkEnd w:id="41"/>
      <w:bookmarkEnd w:id="42"/>
      <w:bookmarkEnd w:id="45"/>
    </w:p>
    <w:p w:rsidR="002948A6" w:rsidRPr="00D63DA4" w:rsidRDefault="002948A6" w:rsidP="002948A6">
      <w:pPr>
        <w:tabs>
          <w:tab w:val="left" w:pos="709"/>
        </w:tabs>
        <w:suppressAutoHyphens/>
        <w:autoSpaceDE w:val="0"/>
        <w:ind w:left="360"/>
        <w:jc w:val="both"/>
      </w:pPr>
    </w:p>
    <w:p w:rsidR="002948A6" w:rsidRPr="00D63DA4" w:rsidRDefault="003E3F85" w:rsidP="00BF3546">
      <w:pPr>
        <w:numPr>
          <w:ilvl w:val="0"/>
          <w:numId w:val="2"/>
        </w:numPr>
        <w:tabs>
          <w:tab w:val="left" w:pos="709"/>
        </w:tabs>
        <w:suppressAutoHyphens/>
        <w:autoSpaceDE w:val="0"/>
        <w:jc w:val="both"/>
        <w:rPr>
          <w:bCs/>
          <w:lang w:val="en-GB"/>
        </w:rPr>
      </w:pPr>
      <w:bookmarkStart w:id="46" w:name="_Ref398123580"/>
      <w:bookmarkStart w:id="47" w:name="_Ref387312771"/>
      <w:bookmarkStart w:id="48" w:name="_Ref379796769"/>
      <w:bookmarkStart w:id="49" w:name="_Ref394499076"/>
      <w:r w:rsidRPr="00D63DA4">
        <w:rPr>
          <w:bCs/>
          <w:lang w:val="en-GB"/>
        </w:rPr>
        <w:t xml:space="preserve">With respect to the investigation aimed at identifying and bringing to justice those responsible for the </w:t>
      </w:r>
      <w:r w:rsidR="00BF3546" w:rsidRPr="00D63DA4">
        <w:rPr>
          <w:bCs/>
          <w:lang w:val="en-GB"/>
        </w:rPr>
        <w:t>abduction</w:t>
      </w:r>
      <w:r w:rsidR="00D04174" w:rsidRPr="00D63DA4">
        <w:rPr>
          <w:lang w:val="en-GB"/>
        </w:rPr>
        <w:t xml:space="preserve"> and disappearance</w:t>
      </w:r>
      <w:r w:rsidRPr="00D63DA4">
        <w:rPr>
          <w:bCs/>
          <w:lang w:val="en-GB"/>
        </w:rPr>
        <w:t xml:space="preserve"> of </w:t>
      </w:r>
      <w:r w:rsidR="00BF3546" w:rsidRPr="00D63DA4">
        <w:rPr>
          <w:bCs/>
          <w:lang w:val="en-GB"/>
        </w:rPr>
        <w:t xml:space="preserve">Mr Momir </w:t>
      </w:r>
      <w:r w:rsidR="00BF3546" w:rsidRPr="00D63DA4">
        <w:t>Milenković</w:t>
      </w:r>
      <w:r w:rsidRPr="00D63DA4">
        <w:t>, the SRSG submits that</w:t>
      </w:r>
      <w:r w:rsidR="002948A6" w:rsidRPr="00D63DA4">
        <w:t xml:space="preserve"> “</w:t>
      </w:r>
      <w:r w:rsidR="00BF3546" w:rsidRPr="00D63DA4">
        <w:t>[f]ollowing the registration of the matter in the UNMIK Police MPU database under No. 2000-000520, UNMIK Police were again seized with the matter in April 2004 when efforts were made to contact the brother of the missing person in Serbia proper. The telephone conversation with the brother did not reveal any new or additional information regarding the missing person or the circumstances of his disappearance. It is further evident from the UNMIK Police files that on 25 May 2008 the UNMIK Police War Crimes Unit completed a ‘case analysis review report’ regarding the disappearance of Mr. Momir Milenković, indicating the status as ‘pending’ and ‘waiting for information’…in view of the very  little information available from the files, it is not possible to examine to what extent UNMIK Police did any investigation into the matter, apart from the telephone conversation it had with the brother of the missing person in 2004, which did not reveal any further information regarding the circumstances of the incident.”</w:t>
      </w:r>
      <w:bookmarkEnd w:id="46"/>
      <w:r w:rsidR="00BF3546" w:rsidRPr="00D63DA4">
        <w:t xml:space="preserve"> </w:t>
      </w:r>
    </w:p>
    <w:p w:rsidR="00BF3546" w:rsidRPr="00D63DA4" w:rsidRDefault="00BF3546" w:rsidP="00BF3546">
      <w:pPr>
        <w:tabs>
          <w:tab w:val="left" w:pos="709"/>
        </w:tabs>
        <w:suppressAutoHyphens/>
        <w:autoSpaceDE w:val="0"/>
        <w:ind w:left="360"/>
        <w:jc w:val="both"/>
        <w:rPr>
          <w:bCs/>
          <w:lang w:val="en-GB"/>
        </w:rPr>
      </w:pPr>
    </w:p>
    <w:p w:rsidR="003E3F85" w:rsidRPr="00D63DA4" w:rsidRDefault="003E3F85" w:rsidP="003E3F85">
      <w:pPr>
        <w:numPr>
          <w:ilvl w:val="0"/>
          <w:numId w:val="2"/>
        </w:numPr>
        <w:tabs>
          <w:tab w:val="left" w:pos="709"/>
        </w:tabs>
        <w:suppressAutoHyphens/>
        <w:autoSpaceDE w:val="0"/>
        <w:jc w:val="both"/>
        <w:rPr>
          <w:bCs/>
          <w:lang w:val="en-GB"/>
        </w:rPr>
      </w:pPr>
      <w:r w:rsidRPr="00D63DA4">
        <w:t xml:space="preserve"> </w:t>
      </w:r>
      <w:bookmarkStart w:id="50" w:name="_Ref397951665"/>
      <w:r w:rsidR="002948A6" w:rsidRPr="00D63DA4">
        <w:rPr>
          <w:bCs/>
          <w:lang w:val="en-GB"/>
        </w:rPr>
        <w:t>The SRSG</w:t>
      </w:r>
      <w:r w:rsidRPr="00D63DA4">
        <w:rPr>
          <w:bCs/>
          <w:lang w:val="en-GB"/>
        </w:rPr>
        <w:t xml:space="preserve"> argues that, “</w:t>
      </w:r>
      <w:proofErr w:type="gramStart"/>
      <w:r w:rsidR="002948A6" w:rsidRPr="00D63DA4">
        <w:rPr>
          <w:bCs/>
          <w:lang w:val="en-GB"/>
        </w:rPr>
        <w:t>as</w:t>
      </w:r>
      <w:proofErr w:type="gramEnd"/>
      <w:r w:rsidR="002948A6" w:rsidRPr="00D63DA4">
        <w:rPr>
          <w:bCs/>
          <w:lang w:val="en-GB"/>
        </w:rPr>
        <w:t xml:space="preserve"> </w:t>
      </w:r>
      <w:r w:rsidRPr="00D63DA4">
        <w:t>UNMIK has noted in other missing persons’ cases,</w:t>
      </w:r>
      <w:r w:rsidR="00A437DF" w:rsidRPr="00D63DA4">
        <w:t xml:space="preserve"> </w:t>
      </w:r>
      <w:r w:rsidRPr="00D63DA4">
        <w:t>without</w:t>
      </w:r>
      <w:r w:rsidR="00D705B2" w:rsidRPr="00D63DA4">
        <w:t xml:space="preserve"> witnesses coming forward</w:t>
      </w:r>
      <w:r w:rsidR="002948A6" w:rsidRPr="00D63DA4">
        <w:t xml:space="preserve"> with credible investigative leads</w:t>
      </w:r>
      <w:r w:rsidR="00D705B2" w:rsidRPr="00D63DA4">
        <w:t xml:space="preserve"> or</w:t>
      </w:r>
      <w:r w:rsidR="002948A6" w:rsidRPr="00D63DA4">
        <w:t xml:space="preserve"> without relevant</w:t>
      </w:r>
      <w:r w:rsidRPr="00D63DA4">
        <w:t xml:space="preserve"> physical evidence being discovered,</w:t>
      </w:r>
      <w:r w:rsidR="002948A6" w:rsidRPr="00D63DA4">
        <w:t xml:space="preserve"> </w:t>
      </w:r>
      <w:r w:rsidRPr="00D63DA4">
        <w:t>police investigations inevitably stall because of a lack of evidence.</w:t>
      </w:r>
      <w:r w:rsidR="002948A6" w:rsidRPr="00D63DA4">
        <w:t xml:space="preserve"> In the period under review by the HRAP, no further witnesses of the alleged disappearance came forward and no physical evidence that would lead to the identification of </w:t>
      </w:r>
      <w:r w:rsidR="002948A6" w:rsidRPr="00D63DA4">
        <w:lastRenderedPageBreak/>
        <w:t xml:space="preserve">the perpetrators could be discovered by the investigators. In the circumstances, there were apparently no available leads. </w:t>
      </w:r>
      <w:r w:rsidR="006B7095" w:rsidRPr="00D63DA4">
        <w:t>”</w:t>
      </w:r>
      <w:bookmarkEnd w:id="50"/>
      <w:r w:rsidRPr="00D63DA4">
        <w:t xml:space="preserve"> </w:t>
      </w:r>
      <w:bookmarkEnd w:id="47"/>
      <w:bookmarkEnd w:id="48"/>
      <w:bookmarkEnd w:id="49"/>
    </w:p>
    <w:p w:rsidR="00D705B2" w:rsidRPr="00D63DA4" w:rsidRDefault="00D705B2" w:rsidP="00D705B2">
      <w:pPr>
        <w:tabs>
          <w:tab w:val="left" w:pos="709"/>
        </w:tabs>
        <w:suppressAutoHyphens/>
        <w:autoSpaceDE w:val="0"/>
        <w:jc w:val="both"/>
        <w:rPr>
          <w:bCs/>
          <w:lang w:val="en-GB"/>
        </w:rPr>
      </w:pPr>
    </w:p>
    <w:p w:rsidR="003E3F85" w:rsidRPr="00D63DA4" w:rsidRDefault="003E3F85" w:rsidP="003E3F85">
      <w:pPr>
        <w:numPr>
          <w:ilvl w:val="0"/>
          <w:numId w:val="2"/>
        </w:numPr>
        <w:tabs>
          <w:tab w:val="left" w:pos="709"/>
        </w:tabs>
        <w:suppressAutoHyphens/>
        <w:autoSpaceDE w:val="0"/>
        <w:jc w:val="both"/>
        <w:rPr>
          <w:lang w:eastAsia="nl-NL"/>
        </w:rPr>
      </w:pPr>
      <w:bookmarkStart w:id="51" w:name="_Ref367285537"/>
      <w:bookmarkStart w:id="52" w:name="_Ref368319301"/>
      <w:bookmarkEnd w:id="43"/>
      <w:r w:rsidRPr="00D63DA4">
        <w:rPr>
          <w:lang w:eastAsia="nl-NL"/>
        </w:rPr>
        <w:t>The SRSG concludes that with regard to the complaint, “it</w:t>
      </w:r>
      <w:r w:rsidR="00D705B2" w:rsidRPr="00D63DA4">
        <w:rPr>
          <w:lang w:eastAsia="nl-NL"/>
        </w:rPr>
        <w:t xml:space="preserve"> appear</w:t>
      </w:r>
      <w:r w:rsidR="002948A6" w:rsidRPr="00D63DA4">
        <w:rPr>
          <w:lang w:eastAsia="nl-NL"/>
        </w:rPr>
        <w:t>s</w:t>
      </w:r>
      <w:r w:rsidR="00D705B2" w:rsidRPr="00D63DA4">
        <w:rPr>
          <w:lang w:eastAsia="nl-NL"/>
        </w:rPr>
        <w:t xml:space="preserve"> that</w:t>
      </w:r>
      <w:r w:rsidR="002948A6" w:rsidRPr="00D63DA4">
        <w:rPr>
          <w:lang w:eastAsia="nl-NL"/>
        </w:rPr>
        <w:t xml:space="preserve"> there has not been a violation of</w:t>
      </w:r>
      <w:r w:rsidR="00D705B2" w:rsidRPr="00D63DA4">
        <w:rPr>
          <w:lang w:eastAsia="nl-NL"/>
        </w:rPr>
        <w:t xml:space="preserve"> Article 2</w:t>
      </w:r>
      <w:r w:rsidR="002948A6" w:rsidRPr="00D63DA4">
        <w:rPr>
          <w:lang w:eastAsia="nl-NL"/>
        </w:rPr>
        <w:t xml:space="preserve"> ECHR</w:t>
      </w:r>
      <w:r w:rsidR="00BF3546" w:rsidRPr="00D63DA4">
        <w:rPr>
          <w:lang w:eastAsia="nl-NL"/>
        </w:rPr>
        <w:t>…”</w:t>
      </w:r>
      <w:r w:rsidR="00D705B2" w:rsidRPr="00D63DA4">
        <w:rPr>
          <w:lang w:eastAsia="nl-NL"/>
        </w:rPr>
        <w:t xml:space="preserve"> </w:t>
      </w:r>
      <w:bookmarkStart w:id="53" w:name="_Ref367285538"/>
      <w:bookmarkEnd w:id="51"/>
      <w:bookmarkEnd w:id="52"/>
    </w:p>
    <w:p w:rsidR="00D705B2" w:rsidRPr="00D63DA4" w:rsidRDefault="00D705B2" w:rsidP="00D705B2">
      <w:pPr>
        <w:tabs>
          <w:tab w:val="left" w:pos="709"/>
        </w:tabs>
        <w:suppressAutoHyphens/>
        <w:autoSpaceDE w:val="0"/>
        <w:ind w:left="360"/>
        <w:jc w:val="both"/>
        <w:rPr>
          <w:lang w:eastAsia="nl-NL"/>
        </w:rPr>
      </w:pPr>
    </w:p>
    <w:p w:rsidR="003E3F85" w:rsidRPr="00D63DA4" w:rsidRDefault="003E3F85" w:rsidP="003E3F85">
      <w:pPr>
        <w:numPr>
          <w:ilvl w:val="0"/>
          <w:numId w:val="2"/>
        </w:numPr>
        <w:tabs>
          <w:tab w:val="left" w:pos="709"/>
        </w:tabs>
        <w:suppressAutoHyphens/>
        <w:autoSpaceDE w:val="0"/>
        <w:jc w:val="both"/>
        <w:rPr>
          <w:lang w:eastAsia="nl-NL"/>
        </w:rPr>
      </w:pPr>
      <w:r w:rsidRPr="00D63DA4">
        <w:rPr>
          <w:lang w:eastAsia="nl-NL"/>
        </w:rPr>
        <w:t>The SRSG al</w:t>
      </w:r>
      <w:r w:rsidR="00A437DF" w:rsidRPr="00D63DA4">
        <w:rPr>
          <w:lang w:eastAsia="nl-NL"/>
        </w:rPr>
        <w:t>so informed the Panel that in view of the</w:t>
      </w:r>
      <w:r w:rsidRPr="00D63DA4">
        <w:rPr>
          <w:lang w:eastAsia="nl-NL"/>
        </w:rPr>
        <w:t xml:space="preserve"> possibility that more information in relation to this case exists, he might make further comments on this matter. However, no further communication in this regard, other than confirmation of the full disclosure of the investigative files, has been received to date.</w:t>
      </w:r>
      <w:bookmarkEnd w:id="53"/>
      <w:r w:rsidRPr="00D63DA4">
        <w:rPr>
          <w:lang w:eastAsia="nl-NL"/>
        </w:rPr>
        <w:t xml:space="preserve"> </w:t>
      </w:r>
    </w:p>
    <w:p w:rsidR="003E3F85" w:rsidRPr="00D63DA4" w:rsidRDefault="003E3F85" w:rsidP="003E3F85">
      <w:pPr>
        <w:suppressAutoHyphens/>
        <w:autoSpaceDE w:val="0"/>
        <w:jc w:val="both"/>
        <w:rPr>
          <w:lang w:val="en-GB"/>
        </w:rPr>
      </w:pPr>
    </w:p>
    <w:p w:rsidR="003E3F85" w:rsidRPr="00D63DA4" w:rsidRDefault="003E3F85" w:rsidP="003E3F85">
      <w:pPr>
        <w:pStyle w:val="ListParagraph"/>
        <w:numPr>
          <w:ilvl w:val="1"/>
          <w:numId w:val="1"/>
        </w:numPr>
        <w:tabs>
          <w:tab w:val="clear" w:pos="360"/>
          <w:tab w:val="left" w:pos="357"/>
        </w:tabs>
        <w:autoSpaceDE w:val="0"/>
        <w:contextualSpacing/>
        <w:jc w:val="both"/>
        <w:rPr>
          <w:b/>
          <w:lang w:val="en-GB"/>
        </w:rPr>
      </w:pPr>
      <w:r w:rsidRPr="00D63DA4">
        <w:rPr>
          <w:b/>
          <w:lang w:val="en-GB"/>
        </w:rPr>
        <w:t xml:space="preserve">The </w:t>
      </w:r>
      <w:r w:rsidRPr="00D63DA4">
        <w:rPr>
          <w:b/>
          <w:bCs/>
          <w:lang w:val="en-GB"/>
        </w:rPr>
        <w:t>Panel’s</w:t>
      </w:r>
      <w:r w:rsidRPr="00D63DA4">
        <w:rPr>
          <w:b/>
          <w:lang w:val="en-GB"/>
        </w:rPr>
        <w:t xml:space="preserve"> assessment</w:t>
      </w:r>
    </w:p>
    <w:p w:rsidR="003E3F85" w:rsidRPr="00D63DA4" w:rsidRDefault="003E3F85" w:rsidP="003E3F85">
      <w:pPr>
        <w:jc w:val="both"/>
        <w:rPr>
          <w:lang w:val="en-GB"/>
        </w:rPr>
      </w:pPr>
    </w:p>
    <w:p w:rsidR="003E3F85" w:rsidRPr="00D63DA4" w:rsidRDefault="003E3F85" w:rsidP="003E3F85">
      <w:pPr>
        <w:numPr>
          <w:ilvl w:val="0"/>
          <w:numId w:val="2"/>
        </w:numPr>
        <w:tabs>
          <w:tab w:val="left" w:pos="709"/>
        </w:tabs>
        <w:suppressAutoHyphens/>
        <w:autoSpaceDE w:val="0"/>
        <w:jc w:val="both"/>
        <w:rPr>
          <w:lang w:val="en-GB"/>
        </w:rPr>
      </w:pPr>
      <w:r w:rsidRPr="00D63DA4">
        <w:rPr>
          <w:lang w:val="en-GB"/>
        </w:rPr>
        <w:t>The</w:t>
      </w:r>
      <w:r w:rsidRPr="00D63DA4">
        <w:rPr>
          <w:bCs/>
          <w:lang w:val="en-GB"/>
        </w:rPr>
        <w:t xml:space="preserve"> Panel considers that the complainant invokes a violation of the procedural obligation </w:t>
      </w:r>
      <w:r w:rsidRPr="00D63DA4">
        <w:rPr>
          <w:lang w:val="en-GB"/>
        </w:rPr>
        <w:t>stemming</w:t>
      </w:r>
      <w:r w:rsidRPr="00D63DA4">
        <w:rPr>
          <w:bCs/>
          <w:lang w:val="en-GB"/>
        </w:rPr>
        <w:t xml:space="preserve"> from the right to life, guaranteed by Article 2 of the European Convention on Human Rights (ECHR) in that UNMIK did not conduct an effective investigation into the </w:t>
      </w:r>
      <w:r w:rsidR="00BF3546" w:rsidRPr="00D63DA4">
        <w:rPr>
          <w:bCs/>
          <w:lang w:val="en-GB"/>
        </w:rPr>
        <w:t>abduction</w:t>
      </w:r>
      <w:r w:rsidR="00D04174" w:rsidRPr="00D63DA4">
        <w:rPr>
          <w:lang w:val="en-GB"/>
        </w:rPr>
        <w:t xml:space="preserve"> and disappearance</w:t>
      </w:r>
      <w:r w:rsidRPr="00D63DA4">
        <w:rPr>
          <w:bCs/>
          <w:lang w:val="en-GB"/>
        </w:rPr>
        <w:t xml:space="preserve"> of </w:t>
      </w:r>
      <w:r w:rsidR="00BF3546" w:rsidRPr="00D63DA4">
        <w:rPr>
          <w:bCs/>
          <w:lang w:val="en-GB"/>
        </w:rPr>
        <w:t xml:space="preserve">Mr Momir </w:t>
      </w:r>
      <w:r w:rsidR="00BF3546" w:rsidRPr="00D63DA4">
        <w:t>Milenković</w:t>
      </w:r>
      <w:r w:rsidRPr="00D63DA4">
        <w:rPr>
          <w:lang w:val="en-GB"/>
        </w:rPr>
        <w:t>.</w:t>
      </w:r>
    </w:p>
    <w:p w:rsidR="003E3F85" w:rsidRPr="00D63DA4" w:rsidRDefault="003E3F85" w:rsidP="003E3F85">
      <w:pPr>
        <w:pStyle w:val="ListParagraph"/>
        <w:autoSpaceDE w:val="0"/>
        <w:ind w:left="360"/>
        <w:jc w:val="both"/>
        <w:rPr>
          <w:lang w:val="en-GB"/>
        </w:rPr>
      </w:pPr>
    </w:p>
    <w:p w:rsidR="003E3F85" w:rsidRPr="00D63DA4" w:rsidRDefault="003E3F85" w:rsidP="003E3F85">
      <w:pPr>
        <w:pStyle w:val="ListParagraph"/>
        <w:numPr>
          <w:ilvl w:val="0"/>
          <w:numId w:val="7"/>
        </w:numPr>
        <w:contextualSpacing/>
        <w:jc w:val="both"/>
        <w:rPr>
          <w:i/>
          <w:lang w:val="en-GB"/>
        </w:rPr>
      </w:pPr>
      <w:r w:rsidRPr="00D63DA4">
        <w:rPr>
          <w:i/>
          <w:lang w:val="en-GB"/>
        </w:rPr>
        <w:t>Submission of relevant files</w:t>
      </w:r>
    </w:p>
    <w:p w:rsidR="003E3F85" w:rsidRPr="00D63DA4" w:rsidRDefault="003E3F85" w:rsidP="003E3F85">
      <w:pPr>
        <w:pStyle w:val="ListParagraph"/>
        <w:autoSpaceDE w:val="0"/>
        <w:ind w:left="450"/>
        <w:jc w:val="both"/>
      </w:pPr>
      <w:bookmarkStart w:id="54" w:name="_Ref354590617"/>
    </w:p>
    <w:p w:rsidR="003E3F85" w:rsidRPr="00D63DA4" w:rsidRDefault="003E3F85" w:rsidP="003E3F85">
      <w:pPr>
        <w:numPr>
          <w:ilvl w:val="0"/>
          <w:numId w:val="2"/>
        </w:numPr>
        <w:tabs>
          <w:tab w:val="left" w:pos="709"/>
        </w:tabs>
        <w:suppressAutoHyphens/>
        <w:autoSpaceDE w:val="0"/>
        <w:jc w:val="both"/>
      </w:pPr>
      <w:r w:rsidRPr="00D63DA4">
        <w:rPr>
          <w:lang w:val="en-GB"/>
        </w:rPr>
        <w:t xml:space="preserve">At the Panel’s request, on </w:t>
      </w:r>
      <w:r w:rsidR="00BF3546" w:rsidRPr="00D63DA4">
        <w:rPr>
          <w:lang w:val="en-GB"/>
        </w:rPr>
        <w:t>4 April</w:t>
      </w:r>
      <w:r w:rsidR="002948A6" w:rsidRPr="00D63DA4">
        <w:rPr>
          <w:lang w:val="en-GB"/>
        </w:rPr>
        <w:t xml:space="preserve"> </w:t>
      </w:r>
      <w:r w:rsidR="00BF3546" w:rsidRPr="00D63DA4">
        <w:rPr>
          <w:lang w:val="en-GB"/>
        </w:rPr>
        <w:t>2013</w:t>
      </w:r>
      <w:r w:rsidRPr="00D63DA4">
        <w:rPr>
          <w:lang w:val="en-GB"/>
        </w:rPr>
        <w:t xml:space="preserve">, the </w:t>
      </w:r>
      <w:r w:rsidRPr="00D63DA4">
        <w:rPr>
          <w:bCs/>
          <w:lang w:val="en-GB"/>
        </w:rPr>
        <w:t>SRSG</w:t>
      </w:r>
      <w:r w:rsidRPr="00D63DA4">
        <w:rPr>
          <w:lang w:val="en-GB"/>
        </w:rPr>
        <w:t xml:space="preserve"> provided copies of the documents related to this investigation, which UNMIK was able to recover. </w:t>
      </w:r>
      <w:r w:rsidRPr="00D63DA4">
        <w:t xml:space="preserve">The </w:t>
      </w:r>
      <w:r w:rsidRPr="00D63DA4">
        <w:rPr>
          <w:lang w:val="en-GB"/>
        </w:rPr>
        <w:t>SRSG</w:t>
      </w:r>
      <w:r w:rsidRPr="00D63DA4">
        <w:t xml:space="preserve"> also noted that there is a possibility more information, not contained in the presented documents, exists, but provided no further details.</w:t>
      </w:r>
      <w:r w:rsidRPr="00D63DA4">
        <w:rPr>
          <w:lang w:val="en-GB"/>
        </w:rPr>
        <w:t xml:space="preserve"> O</w:t>
      </w:r>
      <w:r w:rsidRPr="00D63DA4">
        <w:t xml:space="preserve">n </w:t>
      </w:r>
      <w:r w:rsidR="002948A6" w:rsidRPr="00D63DA4">
        <w:t>15 August</w:t>
      </w:r>
      <w:r w:rsidRPr="00D63DA4">
        <w:t xml:space="preserve"> 2014. UNMIK confirmed to the Panel that no more files have been located, thus the disclosure may be considered complete (see § </w:t>
      </w:r>
      <w:r w:rsidRPr="00D63DA4">
        <w:fldChar w:fldCharType="begin"/>
      </w:r>
      <w:r w:rsidRPr="00D63DA4">
        <w:instrText xml:space="preserve"> REF _Ref373944367 \r \h </w:instrText>
      </w:r>
      <w:r w:rsidR="00C75650" w:rsidRPr="00D63DA4">
        <w:instrText xml:space="preserve"> \* MERGEFORMAT </w:instrText>
      </w:r>
      <w:r w:rsidRPr="00D63DA4">
        <w:fldChar w:fldCharType="separate"/>
      </w:r>
      <w:r w:rsidR="00D90199">
        <w:t>6</w:t>
      </w:r>
      <w:r w:rsidRPr="00D63DA4">
        <w:fldChar w:fldCharType="end"/>
      </w:r>
      <w:r w:rsidRPr="00D63DA4">
        <w:t xml:space="preserve"> above).</w:t>
      </w:r>
      <w:bookmarkEnd w:id="54"/>
    </w:p>
    <w:p w:rsidR="003E3F85" w:rsidRPr="00D63DA4" w:rsidRDefault="003E3F85" w:rsidP="003E3F85">
      <w:pPr>
        <w:suppressAutoHyphens/>
        <w:ind w:left="360"/>
        <w:jc w:val="both"/>
        <w:rPr>
          <w:lang w:val="en-GB"/>
        </w:rPr>
      </w:pPr>
    </w:p>
    <w:p w:rsidR="003E3F85" w:rsidRPr="00D63DA4" w:rsidRDefault="003E3F85" w:rsidP="003E3F85">
      <w:pPr>
        <w:numPr>
          <w:ilvl w:val="0"/>
          <w:numId w:val="2"/>
        </w:numPr>
        <w:tabs>
          <w:tab w:val="left" w:pos="709"/>
        </w:tabs>
        <w:suppressAutoHyphens/>
        <w:autoSpaceDE w:val="0"/>
        <w:jc w:val="both"/>
        <w:rPr>
          <w:lang w:val="en-GB"/>
        </w:rPr>
      </w:pPr>
      <w:r w:rsidRPr="00D63DA4">
        <w:rPr>
          <w:lang w:val="en-GB"/>
        </w:rPr>
        <w:t xml:space="preserve">The Panel notes that Section 15 of UNMIK Regulation No. 2006/12 states that the Panel may request the submission from UNMIK of any documents and that the SRSG shall cooperate with the Panel and </w:t>
      </w:r>
      <w:proofErr w:type="gramStart"/>
      <w:r w:rsidRPr="00D63DA4">
        <w:rPr>
          <w:lang w:val="en-GB"/>
        </w:rPr>
        <w:t>provide</w:t>
      </w:r>
      <w:proofErr w:type="gramEnd"/>
      <w:r w:rsidRPr="00D63DA4">
        <w:rPr>
          <w:lang w:val="en-GB"/>
        </w:rPr>
        <w:t xml:space="preserv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D63DA4">
        <w:rPr>
          <w:i/>
          <w:lang w:val="en-GB"/>
        </w:rPr>
        <w:t>Çelikbilek v. Turkey</w:t>
      </w:r>
      <w:r w:rsidRPr="00D63DA4">
        <w:rPr>
          <w:lang w:val="en-GB"/>
        </w:rPr>
        <w:t xml:space="preserve">, </w:t>
      </w:r>
      <w:r w:rsidRPr="00D63DA4">
        <w:rPr>
          <w:lang w:val="en-GB" w:eastAsia="nl-BE"/>
        </w:rPr>
        <w:t>no. 27693/95, judgment of 31 May 2005</w:t>
      </w:r>
      <w:r w:rsidRPr="00D63DA4">
        <w:rPr>
          <w:i/>
          <w:iCs/>
          <w:lang w:val="en-GB" w:eastAsia="nl-BE"/>
        </w:rPr>
        <w:t>,</w:t>
      </w:r>
      <w:r w:rsidRPr="00D63DA4">
        <w:rPr>
          <w:iCs/>
          <w:lang w:val="en-GB" w:eastAsia="nl-BE"/>
        </w:rPr>
        <w:t xml:space="preserve"> § 56).</w:t>
      </w:r>
      <w:r w:rsidRPr="00D63DA4">
        <w:rPr>
          <w:rFonts w:ascii="Helv" w:hAnsi="Helv" w:cs="Helv"/>
          <w:sz w:val="20"/>
          <w:szCs w:val="20"/>
          <w:lang w:val="en-GB" w:eastAsia="nl-BE"/>
        </w:rPr>
        <w:t xml:space="preserve"> </w:t>
      </w:r>
    </w:p>
    <w:p w:rsidR="003E3F85" w:rsidRPr="00D63DA4" w:rsidRDefault="003E3F85" w:rsidP="003E3F85">
      <w:pPr>
        <w:pStyle w:val="ListParagraph"/>
        <w:rPr>
          <w:lang w:val="en-GB"/>
        </w:rPr>
      </w:pPr>
    </w:p>
    <w:p w:rsidR="003E3F85" w:rsidRPr="00D63DA4" w:rsidRDefault="003E3F85" w:rsidP="003E3F85">
      <w:pPr>
        <w:numPr>
          <w:ilvl w:val="0"/>
          <w:numId w:val="2"/>
        </w:numPr>
        <w:tabs>
          <w:tab w:val="left" w:pos="709"/>
        </w:tabs>
        <w:suppressAutoHyphens/>
        <w:autoSpaceDE w:val="0"/>
        <w:jc w:val="both"/>
        <w:rPr>
          <w:b/>
          <w:lang w:val="en-GB"/>
        </w:rPr>
      </w:pPr>
      <w:r w:rsidRPr="00D63DA4">
        <w:rPr>
          <w:lang w:val="en-GB"/>
        </w:rPr>
        <w:t xml:space="preserve">Furthermore, the Panel notes that the proper maintenance of investigative files concerning crimes such as killings and disappearances, from the opening of the investigations to their handing over, is crucial to the continuation of such investigations and failure to do so could thus raise </w:t>
      </w:r>
      <w:r w:rsidRPr="00D63DA4">
        <w:rPr>
          <w:i/>
          <w:lang w:val="en-GB"/>
        </w:rPr>
        <w:t>per se</w:t>
      </w:r>
      <w:r w:rsidRPr="00D63DA4">
        <w:rPr>
          <w:lang w:val="en-GB"/>
        </w:rPr>
        <w:t xml:space="preserve"> issues under Article 2.</w:t>
      </w:r>
    </w:p>
    <w:p w:rsidR="003E3F85" w:rsidRPr="00D63DA4" w:rsidRDefault="003E3F85" w:rsidP="003E3F85">
      <w:pPr>
        <w:pStyle w:val="ListParagraph"/>
        <w:rPr>
          <w:b/>
          <w:lang w:val="en-GB"/>
        </w:rPr>
      </w:pPr>
    </w:p>
    <w:p w:rsidR="003E3F85" w:rsidRPr="00D63DA4" w:rsidRDefault="003E3F85" w:rsidP="003E3F85">
      <w:pPr>
        <w:numPr>
          <w:ilvl w:val="0"/>
          <w:numId w:val="2"/>
        </w:numPr>
        <w:tabs>
          <w:tab w:val="left" w:pos="709"/>
        </w:tabs>
        <w:suppressAutoHyphens/>
        <w:autoSpaceDE w:val="0"/>
        <w:jc w:val="both"/>
        <w:rPr>
          <w:b/>
          <w:lang w:val="en-GB"/>
        </w:rPr>
      </w:pPr>
      <w:bookmarkStart w:id="55" w:name="_Ref373945461"/>
      <w:r w:rsidRPr="00D63DA4">
        <w:t xml:space="preserve">The </w:t>
      </w:r>
      <w:r w:rsidRPr="00D63DA4">
        <w:rPr>
          <w:lang w:val="en-GB"/>
        </w:rPr>
        <w:t>Panel has no reason to doubt that UNMIK undertook all efforts in order to obtain the relevant</w:t>
      </w:r>
      <w:r w:rsidRPr="00D63DA4">
        <w:t xml:space="preserve"> investigative files. However, the Panel notes that UNMIK has not provided any explanation as to why the documentation may be incomplete, nor with respect to which parts.</w:t>
      </w:r>
      <w:bookmarkEnd w:id="55"/>
    </w:p>
    <w:p w:rsidR="003E3F85" w:rsidRPr="00D63DA4" w:rsidRDefault="003E3F85" w:rsidP="003E3F85">
      <w:pPr>
        <w:pStyle w:val="ListParagraph"/>
        <w:rPr>
          <w:lang w:val="en-GB"/>
        </w:rPr>
      </w:pPr>
    </w:p>
    <w:p w:rsidR="003E3F85" w:rsidRPr="00D63DA4" w:rsidRDefault="003E3F85" w:rsidP="003E3F85">
      <w:pPr>
        <w:numPr>
          <w:ilvl w:val="0"/>
          <w:numId w:val="2"/>
        </w:numPr>
        <w:tabs>
          <w:tab w:val="left" w:pos="709"/>
        </w:tabs>
        <w:suppressAutoHyphens/>
        <w:autoSpaceDE w:val="0"/>
        <w:jc w:val="both"/>
        <w:rPr>
          <w:lang w:val="en-GB"/>
        </w:rPr>
      </w:pPr>
      <w:r w:rsidRPr="00D63DA4">
        <w:rPr>
          <w:lang w:val="en-GB"/>
        </w:rPr>
        <w:t xml:space="preserve">The Panel itself is not in the position to verify the completeness of the investigative files received. The Panel will therefore assess the merits of the complaint on the basis of </w:t>
      </w:r>
      <w:r w:rsidRPr="00D63DA4">
        <w:rPr>
          <w:lang w:val="en-GB"/>
        </w:rPr>
        <w:lastRenderedPageBreak/>
        <w:t xml:space="preserve">documents made available (in this sense, see ECtHR, </w:t>
      </w:r>
      <w:r w:rsidRPr="00D63DA4">
        <w:rPr>
          <w:i/>
          <w:lang w:val="en-GB"/>
        </w:rPr>
        <w:t>Tsechoyev v. Russia</w:t>
      </w:r>
      <w:r w:rsidRPr="00D63DA4">
        <w:rPr>
          <w:lang w:val="en-GB"/>
        </w:rPr>
        <w:t>, no. 39358/05, judgment of</w:t>
      </w:r>
      <w:r w:rsidRPr="00D63DA4">
        <w:rPr>
          <w:i/>
          <w:lang w:val="en-GB"/>
        </w:rPr>
        <w:t xml:space="preserve"> </w:t>
      </w:r>
      <w:r w:rsidRPr="00D63DA4">
        <w:rPr>
          <w:lang w:val="en-GB"/>
        </w:rPr>
        <w:t xml:space="preserve">15 March 2011, § 146).  </w:t>
      </w:r>
      <w:bookmarkStart w:id="56" w:name="_Ref366241114"/>
    </w:p>
    <w:p w:rsidR="003E3F85" w:rsidRPr="00D63DA4" w:rsidRDefault="003E3F85" w:rsidP="003E3F85">
      <w:pPr>
        <w:pStyle w:val="ListParagraph"/>
        <w:rPr>
          <w:lang w:val="en-GB"/>
        </w:rPr>
      </w:pPr>
    </w:p>
    <w:p w:rsidR="003E3F85" w:rsidRPr="00D63DA4" w:rsidRDefault="003E3F85" w:rsidP="003E3F85">
      <w:pPr>
        <w:pStyle w:val="ListParagraph"/>
        <w:numPr>
          <w:ilvl w:val="0"/>
          <w:numId w:val="7"/>
        </w:numPr>
        <w:contextualSpacing/>
        <w:jc w:val="both"/>
        <w:rPr>
          <w:i/>
          <w:lang w:val="en-GB"/>
        </w:rPr>
      </w:pPr>
      <w:r w:rsidRPr="00D63DA4">
        <w:rPr>
          <w:i/>
          <w:lang w:val="en-GB" w:eastAsia="en-US"/>
        </w:rPr>
        <w:t>General</w:t>
      </w:r>
      <w:r w:rsidRPr="00D63DA4">
        <w:rPr>
          <w:i/>
          <w:lang w:val="en-GB"/>
        </w:rPr>
        <w:t xml:space="preserve"> principles concerning the obligation to conduct an effective investigation under Article 2</w:t>
      </w:r>
    </w:p>
    <w:p w:rsidR="003E3F85" w:rsidRPr="00D63DA4" w:rsidRDefault="003E3F85" w:rsidP="003E3F85">
      <w:pPr>
        <w:rPr>
          <w:lang w:val="en-GB"/>
        </w:rPr>
      </w:pPr>
    </w:p>
    <w:p w:rsidR="003E3F85" w:rsidRPr="00D63DA4" w:rsidRDefault="00BF3546" w:rsidP="003E3F85">
      <w:pPr>
        <w:numPr>
          <w:ilvl w:val="0"/>
          <w:numId w:val="2"/>
        </w:numPr>
        <w:tabs>
          <w:tab w:val="left" w:pos="709"/>
        </w:tabs>
        <w:suppressAutoHyphens/>
        <w:autoSpaceDE w:val="0"/>
        <w:jc w:val="both"/>
        <w:rPr>
          <w:lang w:val="en-GB"/>
        </w:rPr>
      </w:pPr>
      <w:bookmarkStart w:id="57" w:name="_Ref398135805"/>
      <w:r w:rsidRPr="00D63DA4">
        <w:rPr>
          <w:lang w:val="en-GB"/>
        </w:rPr>
        <w:t xml:space="preserve">The Panel notes that the positive obligation to investigate disappearances is widely accepted in international human rights law since at least the case of the Inter-American Court of Human Rights (IACtHR) </w:t>
      </w:r>
      <w:r w:rsidRPr="00D63DA4">
        <w:rPr>
          <w:i/>
          <w:lang w:val="en-GB"/>
        </w:rPr>
        <w:t>Velásquez-Rodríguez</w:t>
      </w:r>
      <w:r w:rsidRPr="00D63DA4">
        <w:rPr>
          <w:lang w:val="en-GB"/>
        </w:rPr>
        <w:t xml:space="preserve"> (see IACtHR, </w:t>
      </w:r>
      <w:r w:rsidRPr="00D63DA4">
        <w:rPr>
          <w:i/>
          <w:lang w:val="en-GB"/>
        </w:rPr>
        <w:t>Velásquez-Rodríguez v. Honduras</w:t>
      </w:r>
      <w:r w:rsidRPr="00D63DA4">
        <w:rPr>
          <w:lang w:val="en-GB"/>
        </w:rPr>
        <w:t>, judgment of 29 July 1988, Series C No. 4).</w:t>
      </w:r>
      <w:r w:rsidR="003E3F85" w:rsidRPr="00D63DA4">
        <w:rPr>
          <w:lang w:val="en-GB"/>
        </w:rPr>
        <w:t>The positive obligation to investigate has</w:t>
      </w:r>
      <w:r w:rsidRPr="00D63DA4">
        <w:rPr>
          <w:lang w:val="en-GB"/>
        </w:rPr>
        <w:t xml:space="preserve"> also</w:t>
      </w:r>
      <w:r w:rsidR="003E3F85" w:rsidRPr="00D63DA4">
        <w:rPr>
          <w:lang w:val="en-GB"/>
        </w:rPr>
        <w:t xml:space="preserve"> been stated by the United Nations Human Rights Committee (HRC)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003E3F85" w:rsidRPr="00D63DA4">
        <w:rPr>
          <w:i/>
          <w:lang w:val="en-GB"/>
        </w:rPr>
        <w:t>Mohamed El Awani, v. Libyan Arab Jamahiriya</w:t>
      </w:r>
      <w:r w:rsidR="003E3F85" w:rsidRPr="00D63DA4">
        <w:rPr>
          <w:lang w:val="en-GB"/>
        </w:rPr>
        <w:t>, communication no. 1295/2004, views of 11 July 2007, CCPR/C/90/D/1295/2004). The obligation to investigate disappearances and killings is also asserted in the UN Declaration on the Protection of all Persons from Enforced Disappearances (</w:t>
      </w:r>
      <w:r w:rsidR="003E3F85" w:rsidRPr="00D63DA4">
        <w:t xml:space="preserve">UN Document </w:t>
      </w:r>
      <w:r w:rsidR="003E3F85" w:rsidRPr="00D63DA4">
        <w:rPr>
          <w:lang w:val="en-GB"/>
        </w:rPr>
        <w:t>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56"/>
      <w:bookmarkEnd w:id="57"/>
      <w:r w:rsidR="003E3F85" w:rsidRPr="00D63DA4">
        <w:rPr>
          <w:lang w:val="en-GB"/>
        </w:rPr>
        <w:t xml:space="preserve">   </w:t>
      </w:r>
      <w:bookmarkStart w:id="58" w:name="_Ref347561805"/>
    </w:p>
    <w:p w:rsidR="003E3F85" w:rsidRPr="00D63DA4" w:rsidRDefault="003E3F85" w:rsidP="003E3F85">
      <w:pPr>
        <w:pStyle w:val="ListParagraph"/>
        <w:suppressAutoHyphens w:val="0"/>
        <w:ind w:left="360"/>
        <w:contextualSpacing/>
        <w:jc w:val="both"/>
        <w:rPr>
          <w:lang w:val="en-GB" w:eastAsia="en-US"/>
        </w:rPr>
      </w:pPr>
    </w:p>
    <w:p w:rsidR="003E3F85" w:rsidRPr="00D63DA4" w:rsidRDefault="003E3F85" w:rsidP="003E3F85">
      <w:pPr>
        <w:numPr>
          <w:ilvl w:val="0"/>
          <w:numId w:val="2"/>
        </w:numPr>
        <w:tabs>
          <w:tab w:val="left" w:pos="709"/>
        </w:tabs>
        <w:suppressAutoHyphens/>
        <w:autoSpaceDE w:val="0"/>
        <w:jc w:val="both"/>
        <w:rPr>
          <w:lang w:val="en-GB"/>
        </w:rPr>
      </w:pPr>
      <w:bookmarkStart w:id="59" w:name="_Ref366239860"/>
      <w:r w:rsidRPr="00D63DA4">
        <w:rPr>
          <w:lang w:val="en-GB"/>
        </w:rPr>
        <w:t xml:space="preserve">In order to address the complainant’s allegations, the Panel refers to the well-established case-law of the European Court of Human Rights on the procedural obligation under Article 2 of the ECHR. The Court has held that “[The] obligation to protect the right to life under Article 2,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D63DA4">
        <w:rPr>
          <w:i/>
          <w:lang w:val="en-GB"/>
        </w:rPr>
        <w:t>mutatis mutandis</w:t>
      </w:r>
      <w:r w:rsidRPr="00D63DA4">
        <w:rPr>
          <w:lang w:val="en-GB"/>
        </w:rPr>
        <w:t xml:space="preserve">, ECtHR, </w:t>
      </w:r>
      <w:r w:rsidRPr="00D63DA4">
        <w:rPr>
          <w:i/>
          <w:lang w:val="en-GB"/>
        </w:rPr>
        <w:t>McCann and Others v. the United Kingdom</w:t>
      </w:r>
      <w:r w:rsidRPr="00D63DA4">
        <w:rPr>
          <w:lang w:val="en-GB"/>
        </w:rPr>
        <w:t xml:space="preserve">, judgment of 27 September 1995, § 161, Series A no. 324; and ECtHR, </w:t>
      </w:r>
      <w:r w:rsidRPr="00D63DA4">
        <w:rPr>
          <w:i/>
          <w:lang w:val="en-GB"/>
        </w:rPr>
        <w:t>Kaya v. Turkey</w:t>
      </w:r>
      <w:r w:rsidRPr="00D63DA4">
        <w:rPr>
          <w:lang w:val="en-GB"/>
        </w:rPr>
        <w:t xml:space="preserve">, judgment of 19 February 1998, § 86, Reports 1998-I; see also ECtHR, </w:t>
      </w:r>
      <w:r w:rsidRPr="00D63DA4">
        <w:rPr>
          <w:i/>
          <w:lang w:val="en-GB"/>
        </w:rPr>
        <w:t>Jasinskis v. Latvia</w:t>
      </w:r>
      <w:r w:rsidRPr="00D63DA4">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D63DA4">
        <w:rPr>
          <w:i/>
          <w:lang w:val="en-GB"/>
        </w:rPr>
        <w:t>Kolevi v. Bulgaria</w:t>
      </w:r>
      <w:r w:rsidRPr="00D63DA4">
        <w:rPr>
          <w:lang w:val="en-GB"/>
        </w:rPr>
        <w:t>, no. 1108/02, judgment of 5 November 2009, § 191).</w:t>
      </w:r>
      <w:bookmarkEnd w:id="58"/>
      <w:bookmarkEnd w:id="59"/>
    </w:p>
    <w:p w:rsidR="003E3F85" w:rsidRPr="00D63DA4" w:rsidRDefault="003E3F85" w:rsidP="003E3F85">
      <w:pPr>
        <w:pStyle w:val="ListParagraph"/>
        <w:tabs>
          <w:tab w:val="num" w:pos="567"/>
        </w:tabs>
        <w:suppressAutoHyphens w:val="0"/>
        <w:ind w:left="567" w:hanging="425"/>
        <w:contextualSpacing/>
        <w:jc w:val="both"/>
        <w:rPr>
          <w:lang w:val="en-GB"/>
        </w:rPr>
      </w:pPr>
    </w:p>
    <w:p w:rsidR="003E3F85" w:rsidRPr="00D63DA4" w:rsidRDefault="003E3F85" w:rsidP="003E3F85">
      <w:pPr>
        <w:numPr>
          <w:ilvl w:val="0"/>
          <w:numId w:val="2"/>
        </w:numPr>
        <w:tabs>
          <w:tab w:val="left" w:pos="709"/>
        </w:tabs>
        <w:suppressAutoHyphens/>
        <w:autoSpaceDE w:val="0"/>
        <w:jc w:val="both"/>
        <w:rPr>
          <w:lang w:val="en-GB"/>
        </w:rPr>
      </w:pPr>
      <w:r w:rsidRPr="00D63DA4">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D63DA4">
        <w:rPr>
          <w:i/>
          <w:lang w:val="en-GB"/>
        </w:rPr>
        <w:t>Varnava and Others v. Turkey</w:t>
      </w:r>
      <w:r w:rsidRPr="00D63DA4">
        <w:rPr>
          <w:lang w:val="en-GB"/>
        </w:rPr>
        <w:t xml:space="preserve">, cited in § </w:t>
      </w:r>
      <w:r w:rsidRPr="00D63DA4">
        <w:fldChar w:fldCharType="begin"/>
      </w:r>
      <w:r w:rsidRPr="00D63DA4">
        <w:instrText xml:space="preserve"> REF _Ref346123885 \r \h  \* MERGEFORMAT </w:instrText>
      </w:r>
      <w:r w:rsidRPr="00D63DA4">
        <w:fldChar w:fldCharType="separate"/>
      </w:r>
      <w:r w:rsidR="00D90199" w:rsidRPr="00D90199">
        <w:rPr>
          <w:lang w:val="en-GB"/>
        </w:rPr>
        <w:t>40</w:t>
      </w:r>
      <w:r w:rsidRPr="00D63DA4">
        <w:fldChar w:fldCharType="end"/>
      </w:r>
      <w:r w:rsidRPr="00D63DA4">
        <w:rPr>
          <w:lang w:val="en-GB"/>
        </w:rPr>
        <w:t xml:space="preserve"> above, at § 136).</w:t>
      </w:r>
    </w:p>
    <w:p w:rsidR="003E3F85" w:rsidRPr="00D63DA4" w:rsidRDefault="003E3F85" w:rsidP="003E3F85">
      <w:pPr>
        <w:pStyle w:val="ListParagraph"/>
        <w:tabs>
          <w:tab w:val="num" w:pos="567"/>
        </w:tabs>
        <w:suppressAutoHyphens w:val="0"/>
        <w:ind w:left="567" w:hanging="425"/>
        <w:contextualSpacing/>
        <w:jc w:val="both"/>
        <w:rPr>
          <w:lang w:val="en-GB"/>
        </w:rPr>
      </w:pPr>
    </w:p>
    <w:p w:rsidR="003E3F85" w:rsidRPr="00D63DA4" w:rsidRDefault="003E3F85" w:rsidP="003E3F85">
      <w:pPr>
        <w:numPr>
          <w:ilvl w:val="0"/>
          <w:numId w:val="2"/>
        </w:numPr>
        <w:tabs>
          <w:tab w:val="left" w:pos="709"/>
        </w:tabs>
        <w:suppressAutoHyphens/>
        <w:autoSpaceDE w:val="0"/>
        <w:jc w:val="both"/>
        <w:rPr>
          <w:lang w:val="en-GB"/>
        </w:rPr>
      </w:pPr>
      <w:bookmarkStart w:id="60" w:name="_Ref366240125"/>
      <w:r w:rsidRPr="00D63DA4">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D63DA4">
        <w:rPr>
          <w:i/>
          <w:lang w:val="en-GB"/>
        </w:rPr>
        <w:t>Ahmet Özkan and Others v. Turkey</w:t>
      </w:r>
      <w:r w:rsidRPr="00D63DA4">
        <w:rPr>
          <w:lang w:val="en-GB"/>
        </w:rPr>
        <w:t xml:space="preserve">, no. 21689/93, judgment of 6 April 2004, § 310, see also ECtHR, </w:t>
      </w:r>
      <w:r w:rsidRPr="00D63DA4">
        <w:rPr>
          <w:i/>
          <w:lang w:val="en-GB"/>
        </w:rPr>
        <w:t>Isayeva v. Russia</w:t>
      </w:r>
      <w:r w:rsidRPr="00D63DA4">
        <w:rPr>
          <w:lang w:val="en-GB"/>
        </w:rPr>
        <w:t>, no. 57950/00, judgment of 24 February 2005, § 210).</w:t>
      </w:r>
      <w:bookmarkEnd w:id="60"/>
      <w:r w:rsidRPr="00D63DA4">
        <w:rPr>
          <w:lang w:val="en-GB"/>
        </w:rPr>
        <w:t xml:space="preserve"> </w:t>
      </w:r>
      <w:bookmarkStart w:id="61" w:name="_Ref346724174"/>
    </w:p>
    <w:p w:rsidR="003E3F85" w:rsidRPr="00D63DA4" w:rsidRDefault="003E3F85" w:rsidP="003E3F85">
      <w:pPr>
        <w:pStyle w:val="ListParagraph"/>
        <w:tabs>
          <w:tab w:val="num" w:pos="567"/>
        </w:tabs>
        <w:ind w:left="567" w:hanging="425"/>
        <w:rPr>
          <w:lang w:val="en-GB"/>
        </w:rPr>
      </w:pPr>
    </w:p>
    <w:p w:rsidR="003E3F85" w:rsidRPr="00D63DA4" w:rsidRDefault="003E3F85" w:rsidP="003E3F85">
      <w:pPr>
        <w:numPr>
          <w:ilvl w:val="0"/>
          <w:numId w:val="2"/>
        </w:numPr>
        <w:tabs>
          <w:tab w:val="left" w:pos="709"/>
        </w:tabs>
        <w:suppressAutoHyphens/>
        <w:autoSpaceDE w:val="0"/>
        <w:jc w:val="both"/>
        <w:rPr>
          <w:lang w:val="en-GB"/>
        </w:rPr>
      </w:pPr>
      <w:bookmarkStart w:id="62" w:name="_Ref366239979"/>
      <w:r w:rsidRPr="00D63DA4">
        <w:rPr>
          <w:lang w:val="en-GB"/>
        </w:rPr>
        <w:t xml:space="preserve">Setting out the standards of an effective investigation, the Court has stated that “besides being independent, accessible to the victim’s family, carried out with reasonable promptness and expedition and affording a sufficient element of public scrutiny of the investigation or its results, the investigation must also be effective in the sense that it is capable of leading to a determination of whether the death was caused unlawfully and if so, to the identification and punishment of those responsible” (see ECtHR [GC], </w:t>
      </w:r>
      <w:r w:rsidRPr="00D63DA4">
        <w:rPr>
          <w:i/>
          <w:lang w:val="en-GB"/>
        </w:rPr>
        <w:t xml:space="preserve">Varnava and Others v. </w:t>
      </w:r>
      <w:r w:rsidRPr="00D63DA4">
        <w:rPr>
          <w:lang w:val="en-GB"/>
        </w:rPr>
        <w:t xml:space="preserve">Turkey, cited in § </w:t>
      </w:r>
      <w:r w:rsidRPr="00D63DA4">
        <w:fldChar w:fldCharType="begin"/>
      </w:r>
      <w:r w:rsidRPr="00D63DA4">
        <w:instrText xml:space="preserve"> REF _Ref346123885 \r \h  \* MERGEFORMAT </w:instrText>
      </w:r>
      <w:r w:rsidRPr="00D63DA4">
        <w:fldChar w:fldCharType="separate"/>
      </w:r>
      <w:r w:rsidR="00D90199" w:rsidRPr="00D90199">
        <w:rPr>
          <w:lang w:val="en-GB"/>
        </w:rPr>
        <w:t>40</w:t>
      </w:r>
      <w:r w:rsidRPr="00D63DA4">
        <w:fldChar w:fldCharType="end"/>
      </w:r>
      <w:r w:rsidRPr="00D63DA4">
        <w:rPr>
          <w:lang w:val="en-GB"/>
        </w:rPr>
        <w:t xml:space="preserve"> above, at § 191; see also ECtHR, </w:t>
      </w:r>
      <w:r w:rsidRPr="00D63DA4">
        <w:rPr>
          <w:i/>
          <w:lang w:val="en-GB"/>
        </w:rPr>
        <w:t>Palić v. Bosnia and Herzegovina</w:t>
      </w:r>
      <w:r w:rsidRPr="00D63DA4">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D63DA4">
        <w:rPr>
          <w:i/>
          <w:lang w:val="en-GB"/>
        </w:rPr>
        <w:t>Ahmet Özkan and Others v. Turkey</w:t>
      </w:r>
      <w:r w:rsidRPr="00D63DA4">
        <w:rPr>
          <w:lang w:val="en-GB"/>
        </w:rPr>
        <w:t>, cited above, at § 312, and ECtHR,</w:t>
      </w:r>
      <w:r w:rsidRPr="00D63DA4">
        <w:rPr>
          <w:i/>
          <w:lang w:val="en-GB"/>
        </w:rPr>
        <w:t xml:space="preserve"> Isayeva v. Russia</w:t>
      </w:r>
      <w:r w:rsidRPr="00D63DA4">
        <w:rPr>
          <w:lang w:val="en-GB"/>
        </w:rPr>
        <w:t>, cited above, at § 212).</w:t>
      </w:r>
      <w:bookmarkEnd w:id="61"/>
      <w:bookmarkEnd w:id="62"/>
      <w:r w:rsidRPr="00D63DA4">
        <w:rPr>
          <w:lang w:val="en-GB"/>
        </w:rPr>
        <w:t xml:space="preserve"> </w:t>
      </w:r>
    </w:p>
    <w:p w:rsidR="003E3F85" w:rsidRPr="00D63DA4" w:rsidRDefault="003E3F85" w:rsidP="003E3F85">
      <w:pPr>
        <w:pStyle w:val="ListParagraph"/>
        <w:suppressAutoHyphens w:val="0"/>
        <w:ind w:left="360"/>
        <w:contextualSpacing/>
        <w:jc w:val="both"/>
        <w:rPr>
          <w:lang w:val="en-GB" w:eastAsia="en-US"/>
        </w:rPr>
      </w:pPr>
    </w:p>
    <w:p w:rsidR="003E3F85" w:rsidRPr="00D63DA4" w:rsidRDefault="003E3F85" w:rsidP="003E3F85">
      <w:pPr>
        <w:numPr>
          <w:ilvl w:val="0"/>
          <w:numId w:val="2"/>
        </w:numPr>
        <w:tabs>
          <w:tab w:val="left" w:pos="709"/>
        </w:tabs>
        <w:suppressAutoHyphens/>
        <w:autoSpaceDE w:val="0"/>
        <w:jc w:val="both"/>
        <w:rPr>
          <w:lang w:val="en-GB"/>
        </w:rPr>
      </w:pPr>
      <w:bookmarkStart w:id="63" w:name="_Ref373832219"/>
      <w:r w:rsidRPr="00D63DA4">
        <w:rPr>
          <w:lang w:val="en-GB"/>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ECtHR, </w:t>
      </w:r>
      <w:r w:rsidRPr="00D63DA4">
        <w:rPr>
          <w:i/>
          <w:lang w:val="en-GB"/>
        </w:rPr>
        <w:t>Kolevi v. Bulgaria</w:t>
      </w:r>
      <w:r w:rsidRPr="00D63DA4">
        <w:rPr>
          <w:lang w:val="en-GB"/>
        </w:rPr>
        <w:t xml:space="preserve">, cited in § </w:t>
      </w:r>
      <w:r w:rsidRPr="00D63DA4">
        <w:fldChar w:fldCharType="begin"/>
      </w:r>
      <w:r w:rsidRPr="00D63DA4">
        <w:instrText xml:space="preserve"> REF _Ref366239860 \r \h  \* MERGEFORMAT </w:instrText>
      </w:r>
      <w:r w:rsidRPr="00D63DA4">
        <w:fldChar w:fldCharType="separate"/>
      </w:r>
      <w:r w:rsidR="00D90199" w:rsidRPr="00D90199">
        <w:rPr>
          <w:lang w:val="en-GB"/>
        </w:rPr>
        <w:t>64</w:t>
      </w:r>
      <w:r w:rsidRPr="00D63DA4">
        <w:fldChar w:fldCharType="end"/>
      </w:r>
      <w:r w:rsidRPr="00D63DA4">
        <w:rPr>
          <w:lang w:val="en-GB"/>
        </w:rPr>
        <w:t xml:space="preser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 (see ECtHR, </w:t>
      </w:r>
      <w:r w:rsidRPr="00D63DA4">
        <w:rPr>
          <w:i/>
          <w:lang w:val="en-GB"/>
        </w:rPr>
        <w:t>Velcea and Mazăre</w:t>
      </w:r>
      <w:r w:rsidRPr="00D63DA4">
        <w:rPr>
          <w:lang w:val="en-GB"/>
        </w:rPr>
        <w:t xml:space="preserve"> </w:t>
      </w:r>
      <w:r w:rsidRPr="00D63DA4">
        <w:rPr>
          <w:i/>
          <w:lang w:val="en-GB"/>
        </w:rPr>
        <w:t>v. Romania</w:t>
      </w:r>
      <w:r w:rsidRPr="00D63DA4">
        <w:rPr>
          <w:lang w:val="en-GB"/>
        </w:rPr>
        <w:t>, no. 64301/01, judgment of 1 December 2009, § 105).</w:t>
      </w:r>
      <w:bookmarkEnd w:id="63"/>
      <w:r w:rsidRPr="00D63DA4">
        <w:rPr>
          <w:lang w:val="en-GB"/>
        </w:rPr>
        <w:t xml:space="preserve"> </w:t>
      </w:r>
    </w:p>
    <w:p w:rsidR="003E3F85" w:rsidRPr="00D63DA4" w:rsidRDefault="003E3F85" w:rsidP="003E3F85">
      <w:pPr>
        <w:pStyle w:val="ListParagraph"/>
        <w:rPr>
          <w:lang w:val="en-GB"/>
        </w:rPr>
      </w:pPr>
    </w:p>
    <w:p w:rsidR="003E3F85" w:rsidRPr="00D63DA4" w:rsidRDefault="003E3F85" w:rsidP="003E3F85">
      <w:pPr>
        <w:numPr>
          <w:ilvl w:val="0"/>
          <w:numId w:val="2"/>
        </w:numPr>
        <w:tabs>
          <w:tab w:val="left" w:pos="709"/>
        </w:tabs>
        <w:suppressAutoHyphens/>
        <w:autoSpaceDE w:val="0"/>
        <w:jc w:val="both"/>
        <w:rPr>
          <w:lang w:val="en-GB"/>
        </w:rPr>
      </w:pPr>
      <w:r w:rsidRPr="00D63DA4">
        <w:rPr>
          <w:rStyle w:val="sb8d990e2"/>
        </w:rPr>
        <w:t xml:space="preserve">A requirement of promptness and reasonable expedition is implicit in this context. Even where there may be obstacles or difficulties which prevent progress in an </w:t>
      </w:r>
      <w:bookmarkStart w:id="64" w:name="HIT98"/>
      <w:bookmarkEnd w:id="64"/>
      <w:r w:rsidRPr="00D63DA4">
        <w:rPr>
          <w:rStyle w:val="sb8d990e2"/>
        </w:rPr>
        <w:t xml:space="preserve">investigation in a particular situation, a </w:t>
      </w:r>
      <w:bookmarkStart w:id="65" w:name="HIT99"/>
      <w:bookmarkEnd w:id="65"/>
      <w:r w:rsidRPr="00D63DA4">
        <w:rPr>
          <w:rStyle w:val="sb8d990e2"/>
        </w:rPr>
        <w:t>prompt response by the authorities is vital in maintaining public confidence in their adherence to the rule of law and in preventing any appearance of collusion in or tolerance of unlawful acts (see ECtHR,</w:t>
      </w:r>
      <w:r w:rsidRPr="00D63DA4">
        <w:rPr>
          <w:rStyle w:val="s6b621b36"/>
        </w:rPr>
        <w:t xml:space="preserve"> </w:t>
      </w:r>
      <w:r w:rsidRPr="00D63DA4">
        <w:rPr>
          <w:rStyle w:val="s6b621b36"/>
          <w:i/>
        </w:rPr>
        <w:t>Paul and Audrey Edwards</w:t>
      </w:r>
      <w:r w:rsidRPr="00D63DA4">
        <w:rPr>
          <w:rStyle w:val="sb8d990e2"/>
        </w:rPr>
        <w:t xml:space="preserve"> </w:t>
      </w:r>
      <w:r w:rsidRPr="00D63DA4">
        <w:rPr>
          <w:i/>
        </w:rPr>
        <w:t>v. the United Kingdom</w:t>
      </w:r>
      <w:r w:rsidRPr="00D63DA4">
        <w:t>, no. 46477/99, judgment of 14 March 2002, § 72, ECHR 2002</w:t>
      </w:r>
      <w:r w:rsidRPr="00D63DA4">
        <w:noBreakHyphen/>
        <w:t>II).</w:t>
      </w:r>
    </w:p>
    <w:p w:rsidR="003E3F85" w:rsidRPr="00D63DA4" w:rsidRDefault="003E3F85" w:rsidP="003E3F85">
      <w:pPr>
        <w:tabs>
          <w:tab w:val="num" w:pos="567"/>
        </w:tabs>
        <w:ind w:left="567" w:hanging="425"/>
        <w:contextualSpacing/>
        <w:jc w:val="both"/>
        <w:rPr>
          <w:lang w:val="en-GB"/>
        </w:rPr>
      </w:pPr>
    </w:p>
    <w:p w:rsidR="003E3F85" w:rsidRPr="00D63DA4" w:rsidRDefault="003E3F85" w:rsidP="003E3F85">
      <w:pPr>
        <w:numPr>
          <w:ilvl w:val="0"/>
          <w:numId w:val="2"/>
        </w:numPr>
        <w:tabs>
          <w:tab w:val="left" w:pos="709"/>
        </w:tabs>
        <w:suppressAutoHyphens/>
        <w:autoSpaceDE w:val="0"/>
        <w:jc w:val="both"/>
        <w:rPr>
          <w:lang w:val="en-GB"/>
        </w:rPr>
      </w:pPr>
      <w:bookmarkStart w:id="66" w:name="_Ref373950745"/>
      <w:r w:rsidRPr="00D63DA4">
        <w:rPr>
          <w:lang w:val="en-GB"/>
        </w:rPr>
        <w:t xml:space="preserve">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D63DA4">
        <w:rPr>
          <w:i/>
          <w:lang w:val="en-GB"/>
        </w:rPr>
        <w:t>Palić v. Bosnia and Herzegovina</w:t>
      </w:r>
      <w:r w:rsidRPr="00D63DA4">
        <w:rPr>
          <w:lang w:val="en-GB"/>
        </w:rPr>
        <w:t xml:space="preserve">, cited in § </w:t>
      </w:r>
      <w:r w:rsidRPr="00D63DA4">
        <w:fldChar w:fldCharType="begin"/>
      </w:r>
      <w:r w:rsidRPr="00D63DA4">
        <w:instrText xml:space="preserve"> REF _Ref366239979 \r \h  \* MERGEFORMAT </w:instrText>
      </w:r>
      <w:r w:rsidRPr="00D63DA4">
        <w:fldChar w:fldCharType="separate"/>
      </w:r>
      <w:r w:rsidR="00D90199" w:rsidRPr="00D90199">
        <w:rPr>
          <w:lang w:val="en-GB"/>
        </w:rPr>
        <w:t>67</w:t>
      </w:r>
      <w:r w:rsidRPr="00D63DA4">
        <w:fldChar w:fldCharType="end"/>
      </w:r>
      <w:r w:rsidRPr="00D63DA4">
        <w:rPr>
          <w:lang w:val="en-GB"/>
        </w:rPr>
        <w:t xml:space="preserve"> above, § 46; in the same sense ECtHR [GC], </w:t>
      </w:r>
      <w:r w:rsidRPr="00D63DA4">
        <w:rPr>
          <w:i/>
          <w:lang w:val="en-GB"/>
        </w:rPr>
        <w:t xml:space="preserve">Varnava and Others </w:t>
      </w:r>
      <w:r w:rsidRPr="00D63DA4">
        <w:rPr>
          <w:i/>
          <w:lang w:val="en-GB"/>
        </w:rPr>
        <w:lastRenderedPageBreak/>
        <w:t>v. Turkey</w:t>
      </w:r>
      <w:r w:rsidRPr="00D63DA4">
        <w:rPr>
          <w:lang w:val="en-GB"/>
        </w:rPr>
        <w:t xml:space="preserve">, cited in § </w:t>
      </w:r>
      <w:r w:rsidRPr="00D63DA4">
        <w:fldChar w:fldCharType="begin"/>
      </w:r>
      <w:r w:rsidRPr="00D63DA4">
        <w:instrText xml:space="preserve"> REF _Ref346123885 \r \h  \* MERGEFORMAT </w:instrText>
      </w:r>
      <w:r w:rsidRPr="00D63DA4">
        <w:fldChar w:fldCharType="separate"/>
      </w:r>
      <w:r w:rsidR="00D90199" w:rsidRPr="00D90199">
        <w:rPr>
          <w:lang w:val="en-GB"/>
        </w:rPr>
        <w:t>40</w:t>
      </w:r>
      <w:r w:rsidRPr="00D63DA4">
        <w:fldChar w:fldCharType="end"/>
      </w:r>
      <w:r w:rsidRPr="00D63DA4">
        <w:rPr>
          <w:lang w:val="en-GB"/>
        </w:rPr>
        <w:t xml:space="preserve"> above, § 148, </w:t>
      </w:r>
      <w:r w:rsidRPr="00D63DA4">
        <w:rPr>
          <w:i/>
          <w:lang w:val="en-GB"/>
        </w:rPr>
        <w:t>Aslakhanova and Others v. Russia</w:t>
      </w:r>
      <w:r w:rsidRPr="00D63DA4">
        <w:rPr>
          <w:lang w:val="en-GB"/>
        </w:rPr>
        <w:t xml:space="preserve">, nos. 2944/06 and others, judgment of 18 December 2012, § 122).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D63DA4">
        <w:rPr>
          <w:i/>
          <w:lang w:val="en-GB"/>
        </w:rPr>
        <w:t>Palić v. Bosnia and Herzegovina</w:t>
      </w:r>
      <w:r w:rsidRPr="00D63DA4">
        <w:rPr>
          <w:lang w:val="en-GB"/>
        </w:rPr>
        <w:t xml:space="preserve">, cited above, § 46; in the same sense ECtHR [GC], </w:t>
      </w:r>
      <w:r w:rsidRPr="00D63DA4">
        <w:rPr>
          <w:i/>
          <w:lang w:val="en-GB"/>
        </w:rPr>
        <w:t>Varnava and Others v. Turkey</w:t>
      </w:r>
      <w:r w:rsidRPr="00D63DA4">
        <w:rPr>
          <w:lang w:val="en-GB"/>
        </w:rPr>
        <w:t xml:space="preserve">, cited above, § 145). While the location and the subsequent identification of the mortal remains of the victim may in themselves be significant achievements, the procedural obligation under Article 2 continues to exist (see ECtHR, </w:t>
      </w:r>
      <w:r w:rsidRPr="00D63DA4">
        <w:rPr>
          <w:i/>
          <w:lang w:val="en-GB"/>
        </w:rPr>
        <w:t>Palić v. Bosnia and Herzegovina</w:t>
      </w:r>
      <w:r w:rsidRPr="00D63DA4">
        <w:rPr>
          <w:lang w:val="en-GB"/>
        </w:rPr>
        <w:t>, cited above, § 64).</w:t>
      </w:r>
      <w:bookmarkStart w:id="67" w:name="_Ref347937166"/>
      <w:bookmarkEnd w:id="66"/>
    </w:p>
    <w:p w:rsidR="003E3F85" w:rsidRPr="00D63DA4" w:rsidRDefault="003E3F85" w:rsidP="003E3F85">
      <w:pPr>
        <w:pStyle w:val="ListParagraph"/>
        <w:suppressAutoHyphens w:val="0"/>
        <w:ind w:left="360"/>
        <w:contextualSpacing/>
        <w:jc w:val="both"/>
        <w:rPr>
          <w:lang w:val="en-GB" w:eastAsia="en-US"/>
        </w:rPr>
      </w:pPr>
    </w:p>
    <w:p w:rsidR="002437E9" w:rsidRPr="00D63DA4" w:rsidRDefault="003E3F85" w:rsidP="002437E9">
      <w:pPr>
        <w:numPr>
          <w:ilvl w:val="0"/>
          <w:numId w:val="2"/>
        </w:numPr>
        <w:tabs>
          <w:tab w:val="left" w:pos="709"/>
        </w:tabs>
        <w:suppressAutoHyphens/>
        <w:autoSpaceDE w:val="0"/>
        <w:jc w:val="both"/>
        <w:rPr>
          <w:lang w:val="en-GB"/>
        </w:rPr>
      </w:pPr>
      <w:bookmarkStart w:id="68" w:name="_Ref366240205"/>
      <w:r w:rsidRPr="00D63DA4">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r w:rsidRPr="00D63DA4">
        <w:rPr>
          <w:i/>
          <w:lang w:val="en-GB"/>
        </w:rPr>
        <w:t>Ahmet Özkan and Others v. Turkey</w:t>
      </w:r>
      <w:r w:rsidRPr="00D63DA4">
        <w:rPr>
          <w:lang w:val="en-GB"/>
        </w:rPr>
        <w:t xml:space="preserve">, cited in § </w:t>
      </w:r>
      <w:r w:rsidRPr="00D63DA4">
        <w:fldChar w:fldCharType="begin"/>
      </w:r>
      <w:r w:rsidRPr="00D63DA4">
        <w:instrText xml:space="preserve"> REF _Ref366240125 \r \h  \* MERGEFORMAT </w:instrText>
      </w:r>
      <w:r w:rsidRPr="00D63DA4">
        <w:fldChar w:fldCharType="separate"/>
      </w:r>
      <w:r w:rsidR="00D90199" w:rsidRPr="00D90199">
        <w:rPr>
          <w:lang w:val="en-GB"/>
        </w:rPr>
        <w:t>66</w:t>
      </w:r>
      <w:r w:rsidRPr="00D63DA4">
        <w:fldChar w:fldCharType="end"/>
      </w:r>
      <w:r w:rsidRPr="00D63DA4">
        <w:rPr>
          <w:lang w:val="en-GB"/>
        </w:rPr>
        <w:t xml:space="preserve"> above, at §§ 311</w:t>
      </w:r>
      <w:r w:rsidRPr="00D63DA4">
        <w:rPr>
          <w:lang w:val="en-GB"/>
        </w:rPr>
        <w:noBreakHyphen/>
        <w:t xml:space="preserve">314; </w:t>
      </w:r>
      <w:r w:rsidRPr="00D63DA4">
        <w:rPr>
          <w:i/>
          <w:lang w:val="en-GB"/>
        </w:rPr>
        <w:t>Isayeva v. Russia</w:t>
      </w:r>
      <w:r w:rsidRPr="00D63DA4">
        <w:rPr>
          <w:lang w:val="en-GB"/>
        </w:rPr>
        <w:t xml:space="preserve">, cited in § </w:t>
      </w:r>
      <w:r w:rsidRPr="00D63DA4">
        <w:fldChar w:fldCharType="begin"/>
      </w:r>
      <w:r w:rsidRPr="00D63DA4">
        <w:instrText xml:space="preserve"> REF _Ref366240125 \r \h  \* MERGEFORMAT </w:instrText>
      </w:r>
      <w:r w:rsidRPr="00D63DA4">
        <w:fldChar w:fldCharType="separate"/>
      </w:r>
      <w:r w:rsidR="00D90199" w:rsidRPr="00D90199">
        <w:rPr>
          <w:lang w:val="en-GB"/>
        </w:rPr>
        <w:t>66</w:t>
      </w:r>
      <w:r w:rsidRPr="00D63DA4">
        <w:fldChar w:fldCharType="end"/>
      </w:r>
      <w:r w:rsidRPr="00D63DA4">
        <w:rPr>
          <w:lang w:val="en-GB"/>
        </w:rPr>
        <w:t xml:space="preserve"> above, §§ 211-214 and the cases cited therein).” ECtHR [GC], </w:t>
      </w:r>
      <w:r w:rsidRPr="00D63DA4">
        <w:rPr>
          <w:i/>
          <w:lang w:val="en-GB"/>
        </w:rPr>
        <w:t>Al-Skeini and Others v. United Kingdom</w:t>
      </w:r>
      <w:r w:rsidRPr="00D63DA4">
        <w:rPr>
          <w:lang w:val="en-GB"/>
        </w:rPr>
        <w:t>, no. 55721/07, judgment of 7 July 2011, § 167, ECHR 2011).</w:t>
      </w:r>
      <w:bookmarkEnd w:id="67"/>
      <w:bookmarkEnd w:id="68"/>
    </w:p>
    <w:p w:rsidR="002437E9" w:rsidRPr="00D63DA4" w:rsidRDefault="002437E9" w:rsidP="002437E9">
      <w:pPr>
        <w:pStyle w:val="ListParagraph"/>
        <w:rPr>
          <w:lang w:val="en-GB"/>
        </w:rPr>
      </w:pPr>
    </w:p>
    <w:p w:rsidR="003E3F85" w:rsidRPr="00D63DA4" w:rsidRDefault="002437E9" w:rsidP="002437E9">
      <w:pPr>
        <w:numPr>
          <w:ilvl w:val="0"/>
          <w:numId w:val="2"/>
        </w:numPr>
        <w:tabs>
          <w:tab w:val="left" w:pos="709"/>
        </w:tabs>
        <w:suppressAutoHyphens/>
        <w:autoSpaceDE w:val="0"/>
        <w:jc w:val="both"/>
        <w:rPr>
          <w:lang w:val="en-GB"/>
        </w:rPr>
      </w:pPr>
      <w:r w:rsidRPr="00D63DA4">
        <w:rPr>
          <w:lang w:val="en-GB"/>
        </w:rPr>
        <w:t xml:space="preserve">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(ECtHR [GC], </w:t>
      </w:r>
      <w:r w:rsidRPr="00D63DA4">
        <w:rPr>
          <w:i/>
          <w:iCs/>
          <w:lang w:val="en-GB"/>
        </w:rPr>
        <w:t>El-Masri v. The Former Yugoslav Republic of Macedonia</w:t>
      </w:r>
      <w:r w:rsidRPr="00D63DA4">
        <w:rPr>
          <w:lang w:val="en-GB"/>
        </w:rPr>
        <w:t xml:space="preserve">, no. 39630/09, judgment of 13 December 2012, § 191; ECtHR, </w:t>
      </w:r>
      <w:r w:rsidRPr="00D63DA4">
        <w:rPr>
          <w:i/>
          <w:iCs/>
          <w:lang w:val="en-GB"/>
        </w:rPr>
        <w:t>Al Nashiri v. Poland</w:t>
      </w:r>
      <w:r w:rsidRPr="00D63DA4">
        <w:rPr>
          <w:lang w:val="en-GB"/>
        </w:rPr>
        <w:t xml:space="preserve">, no. 28761/11, judgment of 24 July 2014, §§ 495-496). </w:t>
      </w:r>
      <w:r w:rsidRPr="00D63DA4">
        <w:t>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w:t>
      </w:r>
      <w:r w:rsidR="008655B9" w:rsidRPr="00D63DA4">
        <w:t xml:space="preserve"> see also HRC,  </w:t>
      </w:r>
      <w:r w:rsidRPr="00D63DA4">
        <w:rPr>
          <w:i/>
          <w:iCs/>
        </w:rPr>
        <w:t>Schedko and Bondarenko v. Belarus</w:t>
      </w:r>
      <w:r w:rsidRPr="00D63DA4">
        <w:t xml:space="preserve">, Communication no. 886/1999, views of 3 April 2003, § 10.2, CCPR/C/77/D/886/1999; HRC, </w:t>
      </w:r>
      <w:r w:rsidRPr="00D63DA4">
        <w:rPr>
          <w:i/>
          <w:iCs/>
        </w:rPr>
        <w:t>Mariam, Philippe, Auguste and Thomas Sankara v. Burkina Faso</w:t>
      </w:r>
      <w:r w:rsidRPr="00D63DA4">
        <w:t>, Communication no. 1159/2003, views of 8 March 2006</w:t>
      </w:r>
      <w:r w:rsidRPr="00D63DA4">
        <w:rPr>
          <w:color w:val="000000"/>
          <w:sz w:val="27"/>
          <w:szCs w:val="27"/>
          <w:shd w:val="clear" w:color="auto" w:fill="FFFFFF"/>
        </w:rPr>
        <w:t xml:space="preserve">, </w:t>
      </w:r>
      <w:r w:rsidRPr="00D63DA4">
        <w:t xml:space="preserve">§ 10.2, CCPR/C/86/D/1159/2003; UN Human Rights Council, Resolutions 9/11 and 12/12: Right to the </w:t>
      </w:r>
      <w:r w:rsidRPr="00D63DA4">
        <w:rPr>
          <w:lang w:val="en-GB"/>
        </w:rPr>
        <w:t>Truth</w:t>
      </w:r>
      <w:r w:rsidRPr="00D63DA4">
        <w:t xml:space="preserve">,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Pr="00D63DA4">
        <w:rPr>
          <w:i/>
          <w:iCs/>
        </w:rPr>
        <w:t>Framework Principles for securing the accountability of public officials for gross and systematic human rights violations committed in the context of State counter-terrorist initiatives</w:t>
      </w:r>
      <w:r w:rsidRPr="00D63DA4">
        <w:t>, UN Document A/HRC/22/52, 1 March 2013, § 23-26).</w:t>
      </w:r>
    </w:p>
    <w:p w:rsidR="002437E9" w:rsidRDefault="002437E9" w:rsidP="002437E9">
      <w:pPr>
        <w:tabs>
          <w:tab w:val="left" w:pos="709"/>
        </w:tabs>
        <w:suppressAutoHyphens/>
        <w:autoSpaceDE w:val="0"/>
        <w:ind w:left="360"/>
        <w:jc w:val="both"/>
        <w:rPr>
          <w:lang w:val="en-GB"/>
        </w:rPr>
      </w:pPr>
    </w:p>
    <w:p w:rsidR="00506297" w:rsidRDefault="00506297" w:rsidP="002437E9">
      <w:pPr>
        <w:tabs>
          <w:tab w:val="left" w:pos="709"/>
        </w:tabs>
        <w:suppressAutoHyphens/>
        <w:autoSpaceDE w:val="0"/>
        <w:ind w:left="360"/>
        <w:jc w:val="both"/>
        <w:rPr>
          <w:lang w:val="en-GB"/>
        </w:rPr>
      </w:pPr>
    </w:p>
    <w:p w:rsidR="00506297" w:rsidRPr="00D63DA4" w:rsidRDefault="00506297" w:rsidP="002437E9">
      <w:pPr>
        <w:tabs>
          <w:tab w:val="left" w:pos="709"/>
        </w:tabs>
        <w:suppressAutoHyphens/>
        <w:autoSpaceDE w:val="0"/>
        <w:ind w:left="360"/>
        <w:jc w:val="both"/>
        <w:rPr>
          <w:lang w:val="en-GB"/>
        </w:rPr>
      </w:pPr>
    </w:p>
    <w:p w:rsidR="003E3F85" w:rsidRPr="00D63DA4" w:rsidRDefault="003E3F85" w:rsidP="003E3F85">
      <w:pPr>
        <w:pStyle w:val="ListParagraph"/>
        <w:numPr>
          <w:ilvl w:val="0"/>
          <w:numId w:val="7"/>
        </w:numPr>
        <w:contextualSpacing/>
        <w:jc w:val="both"/>
        <w:rPr>
          <w:i/>
          <w:lang w:val="en-GB" w:eastAsia="en-US"/>
        </w:rPr>
      </w:pPr>
      <w:r w:rsidRPr="00D63DA4">
        <w:rPr>
          <w:i/>
          <w:lang w:val="en-GB"/>
        </w:rPr>
        <w:lastRenderedPageBreak/>
        <w:t>Applicability</w:t>
      </w:r>
      <w:r w:rsidRPr="00D63DA4">
        <w:rPr>
          <w:i/>
          <w:lang w:val="en-GB" w:eastAsia="en-US"/>
        </w:rPr>
        <w:t xml:space="preserve"> of Article 2 to the Kosovo context</w:t>
      </w:r>
    </w:p>
    <w:p w:rsidR="003E3F85" w:rsidRPr="00D63DA4" w:rsidRDefault="003E3F85" w:rsidP="003E3F85">
      <w:pPr>
        <w:pStyle w:val="ListParagraph"/>
        <w:tabs>
          <w:tab w:val="num" w:pos="567"/>
        </w:tabs>
        <w:ind w:left="567" w:hanging="425"/>
        <w:rPr>
          <w:lang w:val="en-GB" w:eastAsia="en-US"/>
        </w:rPr>
      </w:pPr>
    </w:p>
    <w:p w:rsidR="003E3F85" w:rsidRPr="00D63DA4" w:rsidRDefault="003E3F85" w:rsidP="003E3F85">
      <w:pPr>
        <w:numPr>
          <w:ilvl w:val="0"/>
          <w:numId w:val="2"/>
        </w:numPr>
        <w:tabs>
          <w:tab w:val="left" w:pos="709"/>
        </w:tabs>
        <w:suppressAutoHyphens/>
        <w:autoSpaceDE w:val="0"/>
        <w:jc w:val="both"/>
        <w:rPr>
          <w:lang w:val="en-GB"/>
        </w:rPr>
      </w:pPr>
      <w:bookmarkStart w:id="69" w:name="_Ref366163783"/>
      <w:r w:rsidRPr="00D63DA4">
        <w:rPr>
          <w:lang w:val="en-GB"/>
        </w:rPr>
        <w:t xml:space="preserve">The Panel is conscious that </w:t>
      </w:r>
      <w:r w:rsidR="00BF3546" w:rsidRPr="00D63DA4">
        <w:rPr>
          <w:bCs/>
          <w:lang w:val="en-GB"/>
        </w:rPr>
        <w:t xml:space="preserve">Mr Momir </w:t>
      </w:r>
      <w:r w:rsidR="00BF3546" w:rsidRPr="00D63DA4">
        <w:t>Milenković</w:t>
      </w:r>
      <w:r w:rsidR="00BF3546" w:rsidRPr="00D63DA4">
        <w:rPr>
          <w:lang w:val="en-GB"/>
        </w:rPr>
        <w:t xml:space="preserve"> was abducted shortly </w:t>
      </w:r>
      <w:r w:rsidRPr="00D63DA4">
        <w:rPr>
          <w:lang w:val="en-GB"/>
        </w:rPr>
        <w:t>after the deployment of UNMIK in Kosovo in the aftermath of the armed conflict, when crime, violence and insecurity were rife.</w:t>
      </w:r>
      <w:bookmarkEnd w:id="69"/>
    </w:p>
    <w:p w:rsidR="003E3F85" w:rsidRPr="00D63DA4" w:rsidRDefault="003E3F85" w:rsidP="003E3F85">
      <w:pPr>
        <w:pStyle w:val="ListParagraph"/>
        <w:ind w:left="567"/>
        <w:contextualSpacing/>
        <w:jc w:val="both"/>
        <w:rPr>
          <w:lang w:val="en-GB" w:eastAsia="en-US"/>
        </w:rPr>
      </w:pPr>
    </w:p>
    <w:p w:rsidR="003E3F85" w:rsidRPr="00D63DA4" w:rsidRDefault="003E3F85" w:rsidP="003E3F85">
      <w:pPr>
        <w:numPr>
          <w:ilvl w:val="0"/>
          <w:numId w:val="2"/>
        </w:numPr>
        <w:tabs>
          <w:tab w:val="left" w:pos="709"/>
        </w:tabs>
        <w:suppressAutoHyphens/>
        <w:autoSpaceDE w:val="0"/>
        <w:jc w:val="both"/>
        <w:rPr>
          <w:lang w:val="en-GB"/>
        </w:rPr>
      </w:pPr>
      <w:r w:rsidRPr="00D63DA4">
        <w:rPr>
          <w:lang w:val="en-GB"/>
        </w:rPr>
        <w:t xml:space="preserve">On his part, the SRSG does not contest that 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3E3F85" w:rsidRPr="00D63DA4" w:rsidRDefault="003E3F85" w:rsidP="003E3F85">
      <w:pPr>
        <w:pStyle w:val="ListParagraph"/>
        <w:ind w:left="567"/>
        <w:contextualSpacing/>
        <w:jc w:val="both"/>
        <w:rPr>
          <w:lang w:val="en-GB" w:eastAsia="en-US"/>
        </w:rPr>
      </w:pPr>
    </w:p>
    <w:p w:rsidR="003E3F85" w:rsidRPr="00D63DA4" w:rsidRDefault="003E3F85" w:rsidP="003E3F85">
      <w:pPr>
        <w:numPr>
          <w:ilvl w:val="0"/>
          <w:numId w:val="2"/>
        </w:numPr>
        <w:tabs>
          <w:tab w:val="left" w:pos="709"/>
        </w:tabs>
        <w:suppressAutoHyphens/>
        <w:autoSpaceDE w:val="0"/>
        <w:jc w:val="both"/>
        <w:rPr>
          <w:lang w:val="en-GB"/>
        </w:rPr>
      </w:pPr>
      <w:r w:rsidRPr="00D63DA4">
        <w:rPr>
          <w:lang w:val="en-GB"/>
        </w:rPr>
        <w:t xml:space="preserve">The </w:t>
      </w:r>
      <w:r w:rsidRPr="00D63DA4">
        <w:rPr>
          <w:lang w:val="en-GB" w:eastAsia="nl-BE"/>
        </w:rPr>
        <w:t>Panel</w:t>
      </w:r>
      <w:r w:rsidRPr="00D63DA4">
        <w:rPr>
          <w:lang w:val="en-GB"/>
        </w:rPr>
        <w:t xml:space="preserve"> considers that this raises two main questions: first, whether the standards of Article 2 continue to apply in situation of conflict or generalised violence and, second, whether such standards shall be considered fully applicable to UNMIK.</w:t>
      </w:r>
    </w:p>
    <w:p w:rsidR="003E3F85" w:rsidRPr="00D63DA4" w:rsidRDefault="003E3F85" w:rsidP="003E3F85">
      <w:pPr>
        <w:pStyle w:val="ListParagraph"/>
        <w:ind w:left="567" w:hanging="425"/>
        <w:rPr>
          <w:lang w:val="en-GB" w:eastAsia="en-US"/>
        </w:rPr>
      </w:pPr>
    </w:p>
    <w:p w:rsidR="003E3F85" w:rsidRPr="00D63DA4" w:rsidRDefault="003E3F85" w:rsidP="003E3F85">
      <w:pPr>
        <w:numPr>
          <w:ilvl w:val="0"/>
          <w:numId w:val="2"/>
        </w:numPr>
        <w:tabs>
          <w:tab w:val="left" w:pos="709"/>
        </w:tabs>
        <w:suppressAutoHyphens/>
        <w:autoSpaceDE w:val="0"/>
        <w:jc w:val="both"/>
        <w:rPr>
          <w:lang w:val="en-GB"/>
        </w:rPr>
      </w:pPr>
      <w:r w:rsidRPr="00D63DA4">
        <w:rPr>
          <w:lang w:val="en-GB"/>
        </w:rPr>
        <w:t xml:space="preserve">As regards </w:t>
      </w:r>
      <w:r w:rsidRPr="00D63DA4">
        <w:t>t</w:t>
      </w:r>
      <w:r w:rsidRPr="00D63DA4">
        <w:rPr>
          <w:lang w:val="en-GB"/>
        </w:rPr>
        <w:t xml:space="preserve">he applicability of Article 2 to UNMIK, the Panel recalls </w:t>
      </w:r>
      <w:r w:rsidRPr="00D63DA4">
        <w:rPr>
          <w:lang w:val="en-GB" w:eastAsia="nl-BE"/>
        </w:rPr>
        <w:t xml:space="preserve">that with the adoption of the UNMIK Regulation No. 1999/1 on 25 July 1999 UNMIK undertook an obligation to observe internationally recognised human rights standards in exercising its </w:t>
      </w:r>
      <w:r w:rsidRPr="00D63DA4">
        <w:rPr>
          <w:lang w:val="en-GB"/>
        </w:rPr>
        <w:t>functions</w:t>
      </w:r>
      <w:r w:rsidRPr="00D63DA4">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D63DA4">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D63DA4">
        <w:rPr>
          <w:i/>
          <w:lang w:val="en-GB"/>
        </w:rPr>
        <w:t>Milogorić</w:t>
      </w:r>
      <w:r w:rsidRPr="00D63DA4">
        <w:rPr>
          <w:lang w:val="en-GB"/>
        </w:rPr>
        <w:t xml:space="preserve"> </w:t>
      </w:r>
      <w:r w:rsidRPr="00D63DA4">
        <w:rPr>
          <w:i/>
          <w:lang w:val="en-GB"/>
        </w:rPr>
        <w:t>and Others,</w:t>
      </w:r>
      <w:r w:rsidRPr="00D63DA4">
        <w:rPr>
          <w:lang w:val="en-GB"/>
        </w:rPr>
        <w:t xml:space="preserve"> nos. 38/08 and others, opinion of 24 March 2011, § 44; </w:t>
      </w:r>
      <w:r w:rsidRPr="00D63DA4">
        <w:rPr>
          <w:i/>
          <w:lang w:val="en-GB"/>
        </w:rPr>
        <w:t>Berisha and Others,</w:t>
      </w:r>
      <w:r w:rsidRPr="00D63DA4">
        <w:rPr>
          <w:lang w:val="en-GB"/>
        </w:rPr>
        <w:t xml:space="preserve"> nos. 27/08 and others, opinion of 23 February 2011,</w:t>
      </w:r>
      <w:r w:rsidRPr="00D63DA4">
        <w:rPr>
          <w:i/>
          <w:lang w:val="en-GB"/>
        </w:rPr>
        <w:t xml:space="preserve"> </w:t>
      </w:r>
      <w:r w:rsidRPr="00D63DA4">
        <w:rPr>
          <w:lang w:val="en-GB"/>
        </w:rPr>
        <w:t xml:space="preserve">§ 25; </w:t>
      </w:r>
      <w:r w:rsidRPr="00D63DA4">
        <w:rPr>
          <w:i/>
          <w:lang w:val="en-GB"/>
        </w:rPr>
        <w:t>Lalić and Others</w:t>
      </w:r>
      <w:r w:rsidRPr="00D63DA4">
        <w:rPr>
          <w:lang w:val="en-GB"/>
        </w:rPr>
        <w:t>, nos. 09/08 and others, opinion of 9 June 2012, § 22).</w:t>
      </w:r>
    </w:p>
    <w:p w:rsidR="003E3F85" w:rsidRPr="00D63DA4" w:rsidRDefault="003E3F85" w:rsidP="003E3F85">
      <w:pPr>
        <w:pStyle w:val="ListParagraph"/>
        <w:rPr>
          <w:lang w:val="en-GB"/>
        </w:rPr>
      </w:pPr>
    </w:p>
    <w:p w:rsidR="003E3F85" w:rsidRPr="00D63DA4" w:rsidRDefault="003E3F85" w:rsidP="003E3F85">
      <w:pPr>
        <w:numPr>
          <w:ilvl w:val="0"/>
          <w:numId w:val="2"/>
        </w:numPr>
        <w:tabs>
          <w:tab w:val="left" w:pos="709"/>
        </w:tabs>
        <w:suppressAutoHyphens/>
        <w:autoSpaceDE w:val="0"/>
        <w:jc w:val="both"/>
        <w:rPr>
          <w:lang w:val="en-GB"/>
        </w:rPr>
      </w:pPr>
      <w:bookmarkStart w:id="70" w:name="_Ref366241246"/>
      <w:r w:rsidRPr="00D63DA4">
        <w:rPr>
          <w:lang w:val="en-GB"/>
        </w:rPr>
        <w:t xml:space="preserve">Concerning the applicability of Article 2 to situations of conflict or generalised violence, the Panel </w:t>
      </w:r>
      <w:r w:rsidRPr="00D63DA4">
        <w:t>recalls</w:t>
      </w:r>
      <w:r w:rsidRPr="00D63DA4">
        <w:rPr>
          <w:lang w:val="en-GB"/>
        </w:rPr>
        <w:t xml:space="preserve"> that the European Court of Human Rights has established the applicability of Article 2 to post-conflict situations, including in countries of the former Yugoslavia (see, among other examples, ECtHR, </w:t>
      </w:r>
      <w:r w:rsidRPr="00D63DA4">
        <w:rPr>
          <w:i/>
          <w:lang w:val="en-GB"/>
        </w:rPr>
        <w:t>Palić v. Bosnia and Herzegovina,</w:t>
      </w:r>
      <w:r w:rsidRPr="00D63DA4">
        <w:rPr>
          <w:lang w:val="en-GB"/>
        </w:rPr>
        <w:t xml:space="preserve"> cited in § </w:t>
      </w:r>
      <w:r w:rsidRPr="00D63DA4">
        <w:fldChar w:fldCharType="begin"/>
      </w:r>
      <w:r w:rsidRPr="00D63DA4">
        <w:instrText xml:space="preserve"> REF _Ref366239979 \r \h  \* MERGEFORMAT </w:instrText>
      </w:r>
      <w:r w:rsidRPr="00D63DA4">
        <w:fldChar w:fldCharType="separate"/>
      </w:r>
      <w:r w:rsidR="00D90199" w:rsidRPr="00D90199">
        <w:rPr>
          <w:lang w:val="en-GB"/>
        </w:rPr>
        <w:t>67</w:t>
      </w:r>
      <w:r w:rsidRPr="00D63DA4">
        <w:fldChar w:fldCharType="end"/>
      </w:r>
      <w:r w:rsidRPr="00D63DA4">
        <w:rPr>
          <w:lang w:val="en-GB"/>
        </w:rPr>
        <w:t xml:space="preserve"> above, and ECtHR, </w:t>
      </w:r>
      <w:r w:rsidRPr="00D63DA4">
        <w:rPr>
          <w:i/>
          <w:lang w:val="en-GB"/>
        </w:rPr>
        <w:t>Jularić v. Croatia</w:t>
      </w:r>
      <w:r w:rsidRPr="00D63DA4">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D63DA4">
        <w:rPr>
          <w:i/>
          <w:lang w:val="en-GB"/>
        </w:rPr>
        <w:t>Al-Skeini and Others v. the United Kingdom</w:t>
      </w:r>
      <w:r w:rsidRPr="00D63DA4">
        <w:rPr>
          <w:lang w:val="en-GB"/>
        </w:rPr>
        <w:t xml:space="preserve">, cited in § </w:t>
      </w:r>
      <w:r w:rsidRPr="00D63DA4">
        <w:fldChar w:fldCharType="begin"/>
      </w:r>
      <w:r w:rsidRPr="00D63DA4">
        <w:instrText xml:space="preserve"> REF _Ref366240205 \r \h  \* MERGEFORMAT </w:instrText>
      </w:r>
      <w:r w:rsidRPr="00D63DA4">
        <w:fldChar w:fldCharType="separate"/>
      </w:r>
      <w:r w:rsidR="00D90199" w:rsidRPr="00D90199">
        <w:rPr>
          <w:lang w:val="en-GB"/>
        </w:rPr>
        <w:t>71</w:t>
      </w:r>
      <w:r w:rsidRPr="00D63DA4">
        <w:fldChar w:fldCharType="end"/>
      </w:r>
      <w:r w:rsidRPr="00D63DA4">
        <w:rPr>
          <w:lang w:val="en-GB"/>
        </w:rPr>
        <w:t xml:space="preserve"> above, at § 164; see also ECtHR, </w:t>
      </w:r>
      <w:r w:rsidRPr="00D63DA4">
        <w:rPr>
          <w:i/>
          <w:lang w:val="en-GB"/>
        </w:rPr>
        <w:t>Güleç v. Turkey</w:t>
      </w:r>
      <w:r w:rsidRPr="00D63DA4">
        <w:rPr>
          <w:lang w:val="en-GB"/>
        </w:rPr>
        <w:t>, judgment of 27 July 1998, § 81, Reports 1998-IV; ECtHR,</w:t>
      </w:r>
      <w:r w:rsidRPr="00D63DA4">
        <w:rPr>
          <w:i/>
          <w:lang w:val="en-GB"/>
        </w:rPr>
        <w:t xml:space="preserve"> Ergi v. Turkey</w:t>
      </w:r>
      <w:r w:rsidRPr="00D63DA4">
        <w:rPr>
          <w:lang w:val="en-GB"/>
        </w:rPr>
        <w:t>, judgment of 28 July 1998, §§ 79 and 82, Reports 1998-IV; ECtHR,</w:t>
      </w:r>
      <w:r w:rsidRPr="00D63DA4">
        <w:rPr>
          <w:i/>
          <w:lang w:val="en-GB"/>
        </w:rPr>
        <w:t xml:space="preserve"> Ahmet Özkan and Others v. Turkey</w:t>
      </w:r>
      <w:r w:rsidRPr="00D63DA4">
        <w:rPr>
          <w:lang w:val="en-GB"/>
        </w:rPr>
        <w:t xml:space="preserve">, cited in § </w:t>
      </w:r>
      <w:r w:rsidRPr="00D63DA4">
        <w:fldChar w:fldCharType="begin"/>
      </w:r>
      <w:r w:rsidRPr="00D63DA4">
        <w:instrText xml:space="preserve"> REF _Ref366240125 \r \h  \* MERGEFORMAT </w:instrText>
      </w:r>
      <w:r w:rsidRPr="00D63DA4">
        <w:fldChar w:fldCharType="separate"/>
      </w:r>
      <w:r w:rsidR="00D90199" w:rsidRPr="00D90199">
        <w:rPr>
          <w:lang w:val="en-GB"/>
        </w:rPr>
        <w:t>66</w:t>
      </w:r>
      <w:r w:rsidRPr="00D63DA4">
        <w:fldChar w:fldCharType="end"/>
      </w:r>
      <w:r w:rsidRPr="00D63DA4">
        <w:rPr>
          <w:lang w:val="en-GB"/>
        </w:rPr>
        <w:t xml:space="preserve"> above, at §§ 85-90, 309-320 and 326-330;</w:t>
      </w:r>
      <w:r w:rsidRPr="00D63DA4">
        <w:rPr>
          <w:i/>
          <w:lang w:val="en-GB"/>
        </w:rPr>
        <w:t xml:space="preserve"> Isayeva v. Russia</w:t>
      </w:r>
      <w:r w:rsidRPr="00D63DA4">
        <w:rPr>
          <w:lang w:val="en-GB"/>
        </w:rPr>
        <w:t xml:space="preserve">, cited in § </w:t>
      </w:r>
      <w:r w:rsidRPr="00D63DA4">
        <w:fldChar w:fldCharType="begin"/>
      </w:r>
      <w:r w:rsidRPr="00D63DA4">
        <w:instrText xml:space="preserve"> REF _Ref366240125 \r \h  \* MERGEFORMAT </w:instrText>
      </w:r>
      <w:r w:rsidRPr="00D63DA4">
        <w:fldChar w:fldCharType="separate"/>
      </w:r>
      <w:r w:rsidR="00D90199" w:rsidRPr="00D90199">
        <w:rPr>
          <w:lang w:val="en-GB"/>
        </w:rPr>
        <w:t>66</w:t>
      </w:r>
      <w:r w:rsidRPr="00D63DA4">
        <w:fldChar w:fldCharType="end"/>
      </w:r>
      <w:r w:rsidRPr="00D63DA4">
        <w:rPr>
          <w:lang w:val="en-GB"/>
        </w:rPr>
        <w:t xml:space="preserve"> above, at §§ 180 and 210; ECtHR, </w:t>
      </w:r>
      <w:r w:rsidRPr="00D63DA4">
        <w:rPr>
          <w:i/>
          <w:lang w:val="en-GB"/>
        </w:rPr>
        <w:t>Kanlibaş v. Turkey</w:t>
      </w:r>
      <w:r w:rsidRPr="00D63DA4">
        <w:rPr>
          <w:lang w:val="en-GB"/>
        </w:rPr>
        <w:t>, no. 32444/96, judgment of 8 December 2005, §§ 39-51).</w:t>
      </w:r>
      <w:bookmarkEnd w:id="70"/>
      <w:r w:rsidRPr="00D63DA4">
        <w:rPr>
          <w:lang w:val="en-GB"/>
        </w:rPr>
        <w:t xml:space="preserve"> </w:t>
      </w:r>
    </w:p>
    <w:p w:rsidR="003E3F85" w:rsidRPr="00D63DA4" w:rsidRDefault="003E3F85" w:rsidP="003E3F85">
      <w:pPr>
        <w:pStyle w:val="ListParagraph"/>
        <w:suppressAutoHyphens w:val="0"/>
        <w:ind w:left="567"/>
        <w:contextualSpacing/>
        <w:jc w:val="both"/>
        <w:rPr>
          <w:lang w:val="en-GB" w:eastAsia="en-US"/>
        </w:rPr>
      </w:pPr>
    </w:p>
    <w:p w:rsidR="003E3F85" w:rsidRPr="00D63DA4" w:rsidRDefault="003E3F85" w:rsidP="003E3F85">
      <w:pPr>
        <w:numPr>
          <w:ilvl w:val="0"/>
          <w:numId w:val="2"/>
        </w:numPr>
        <w:tabs>
          <w:tab w:val="left" w:pos="709"/>
        </w:tabs>
        <w:suppressAutoHyphens/>
        <w:autoSpaceDE w:val="0"/>
        <w:jc w:val="both"/>
        <w:rPr>
          <w:lang w:val="en-GB"/>
        </w:rPr>
      </w:pPr>
      <w:bookmarkStart w:id="71" w:name="_Ref366241459"/>
      <w:r w:rsidRPr="00D63DA4">
        <w:rPr>
          <w:lang w:val="en-GB"/>
        </w:rPr>
        <w:lastRenderedPageBreak/>
        <w:t xml:space="preserve">The Court has acknowledged that “where the death to be investigated under Article 2 occurs in circumstances of generalised violence, armed conflict or insurgency, obstacles may be placed in the way of investigators and […] concrete constraints </w:t>
      </w:r>
      <w:r w:rsidRPr="00D63DA4">
        <w:t>may</w:t>
      </w:r>
      <w:r w:rsidRPr="00D63DA4">
        <w:rPr>
          <w:lang w:val="en-GB"/>
        </w:rPr>
        <w:t xml:space="preserve"> compel the use of less effective measures of investigation or may cause an investigation to be delayed” (see, ECtHR [GC], </w:t>
      </w:r>
      <w:r w:rsidRPr="00D63DA4">
        <w:rPr>
          <w:i/>
          <w:lang w:val="en-GB"/>
        </w:rPr>
        <w:t xml:space="preserve">Al-Skeini and Others v. the United Kingdom, </w:t>
      </w:r>
      <w:r w:rsidRPr="00D63DA4">
        <w:rPr>
          <w:lang w:val="en-GB"/>
        </w:rPr>
        <w:t>cited above, at §164;</w:t>
      </w:r>
      <w:r w:rsidRPr="00D63DA4">
        <w:rPr>
          <w:i/>
          <w:lang w:val="en-GB"/>
        </w:rPr>
        <w:t xml:space="preserve"> </w:t>
      </w:r>
      <w:r w:rsidRPr="00D63DA4">
        <w:rPr>
          <w:lang w:val="en-GB"/>
        </w:rPr>
        <w:t>ECtHR,</w:t>
      </w:r>
      <w:r w:rsidRPr="00D63DA4">
        <w:rPr>
          <w:i/>
          <w:lang w:val="en-GB"/>
        </w:rPr>
        <w:t xml:space="preserve"> Bazorkina v. Russia</w:t>
      </w:r>
      <w:r w:rsidRPr="00D63DA4">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D63DA4">
        <w:rPr>
          <w:i/>
          <w:lang w:val="en-GB"/>
        </w:rPr>
        <w:t>Kaya v. Turkey</w:t>
      </w:r>
      <w:r w:rsidRPr="00D63DA4">
        <w:rPr>
          <w:lang w:val="en-GB"/>
        </w:rPr>
        <w:t xml:space="preserve">, cited in § </w:t>
      </w:r>
      <w:r w:rsidRPr="00D63DA4">
        <w:fldChar w:fldCharType="begin"/>
      </w:r>
      <w:r w:rsidRPr="00D63DA4">
        <w:instrText xml:space="preserve"> REF _Ref366239860 \r \h  \* MERGEFORMAT </w:instrText>
      </w:r>
      <w:r w:rsidRPr="00D63DA4">
        <w:fldChar w:fldCharType="separate"/>
      </w:r>
      <w:r w:rsidR="00D90199" w:rsidRPr="00D90199">
        <w:rPr>
          <w:lang w:val="en-GB"/>
        </w:rPr>
        <w:t>64</w:t>
      </w:r>
      <w:r w:rsidRPr="00D63DA4">
        <w:fldChar w:fldCharType="end"/>
      </w:r>
      <w:r w:rsidRPr="00D63DA4">
        <w:rPr>
          <w:lang w:val="en-GB"/>
        </w:rPr>
        <w:t xml:space="preserve"> above, at §§ 86</w:t>
      </w:r>
      <w:r w:rsidRPr="00D63DA4">
        <w:rPr>
          <w:lang w:val="en-GB"/>
        </w:rPr>
        <w:noBreakHyphen/>
        <w:t xml:space="preserve">92; ECtHR, </w:t>
      </w:r>
      <w:r w:rsidRPr="00D63DA4">
        <w:rPr>
          <w:i/>
          <w:lang w:val="en-GB"/>
        </w:rPr>
        <w:t xml:space="preserve">Ergi v Turkey, </w:t>
      </w:r>
      <w:r w:rsidRPr="00D63DA4">
        <w:rPr>
          <w:lang w:val="en-GB"/>
        </w:rPr>
        <w:t xml:space="preserve">cited above, at §§ 82-85; ECtHR [GC], </w:t>
      </w:r>
      <w:r w:rsidRPr="00D63DA4">
        <w:rPr>
          <w:i/>
          <w:lang w:val="en-GB"/>
        </w:rPr>
        <w:t>Tanrıkulu v. Turkey</w:t>
      </w:r>
      <w:r w:rsidRPr="00D63DA4">
        <w:rPr>
          <w:lang w:val="en-GB"/>
        </w:rPr>
        <w:t xml:space="preserve">, no. 23763/94, judgment of 8 July 1999, §§ 101-110, ECHR 1999-IV; ECtHR, </w:t>
      </w:r>
      <w:r w:rsidRPr="00D63DA4">
        <w:rPr>
          <w:i/>
          <w:lang w:val="en-GB"/>
        </w:rPr>
        <w:t>Khashiyev and Akayeva v. Russia</w:t>
      </w:r>
      <w:r w:rsidRPr="00D63DA4">
        <w:rPr>
          <w:lang w:val="en-GB"/>
        </w:rPr>
        <w:t xml:space="preserve">, nos. 57942/00 and 57945/00, judgment of 24 February 2005, §§ 156-166; ECtHR, </w:t>
      </w:r>
      <w:r w:rsidRPr="00D63DA4">
        <w:rPr>
          <w:i/>
          <w:lang w:val="en-GB"/>
        </w:rPr>
        <w:t>Isayeva v. Russia</w:t>
      </w:r>
      <w:r w:rsidRPr="00D63DA4">
        <w:rPr>
          <w:lang w:val="en-GB"/>
        </w:rPr>
        <w:t>, cited above, at §§ 215</w:t>
      </w:r>
      <w:r w:rsidRPr="00D63DA4">
        <w:rPr>
          <w:lang w:val="en-GB"/>
        </w:rPr>
        <w:noBreakHyphen/>
        <w:t xml:space="preserve">224; ECtHR, </w:t>
      </w:r>
      <w:r w:rsidRPr="00D63DA4">
        <w:rPr>
          <w:i/>
          <w:lang w:val="en-GB"/>
        </w:rPr>
        <w:t>Musayev and Others v. Russia</w:t>
      </w:r>
      <w:r w:rsidRPr="00D63DA4">
        <w:rPr>
          <w:lang w:val="en-GB"/>
        </w:rPr>
        <w:t>, nos. 57941/00 and others, judgment of 26 July 2007, §§ 158-165).</w:t>
      </w:r>
      <w:bookmarkEnd w:id="71"/>
      <w:r w:rsidRPr="00D63DA4">
        <w:rPr>
          <w:lang w:val="en-GB"/>
        </w:rPr>
        <w:t xml:space="preserve"> </w:t>
      </w:r>
    </w:p>
    <w:p w:rsidR="003E3F85" w:rsidRPr="00D63DA4" w:rsidRDefault="003E3F85" w:rsidP="003E3F85">
      <w:pPr>
        <w:pStyle w:val="ListParagraph"/>
        <w:suppressAutoHyphens w:val="0"/>
        <w:ind w:left="567"/>
        <w:contextualSpacing/>
        <w:jc w:val="both"/>
        <w:rPr>
          <w:lang w:val="en-GB" w:eastAsia="en-US"/>
        </w:rPr>
      </w:pPr>
    </w:p>
    <w:p w:rsidR="003E3F85" w:rsidRPr="00D63DA4" w:rsidRDefault="003E3F85" w:rsidP="003E3F85">
      <w:pPr>
        <w:numPr>
          <w:ilvl w:val="0"/>
          <w:numId w:val="2"/>
        </w:numPr>
        <w:tabs>
          <w:tab w:val="left" w:pos="709"/>
        </w:tabs>
        <w:suppressAutoHyphens/>
        <w:autoSpaceDE w:val="0"/>
        <w:jc w:val="both"/>
        <w:rPr>
          <w:lang w:val="en-GB"/>
        </w:rPr>
      </w:pPr>
      <w:bookmarkStart w:id="72" w:name="_Ref398194357"/>
      <w:r w:rsidRPr="00D63DA4">
        <w:rPr>
          <w:lang w:val="en-GB"/>
        </w:rPr>
        <w:t xml:space="preserve">Similarly, the HRC has held that the right to life, including its procedural guarantees, shall be </w:t>
      </w:r>
      <w:r w:rsidRPr="00D63DA4">
        <w:t>considered</w:t>
      </w:r>
      <w:r w:rsidRPr="00D63DA4">
        <w:rPr>
          <w:lang w:val="en-GB"/>
        </w:rPr>
        <w:t xml:space="preserve"> as the supreme right from which no derogation is permitted even in time of public emergency which threatens the life of the nation (see, HRC, General Comment No. 6, cited in § </w:t>
      </w:r>
      <w:r w:rsidRPr="00D63DA4">
        <w:fldChar w:fldCharType="begin"/>
      </w:r>
      <w:r w:rsidRPr="00D63DA4">
        <w:instrText xml:space="preserve"> REF _Ref366241114 \r \h  \* MERGEFORMAT </w:instrText>
      </w:r>
      <w:r w:rsidRPr="00D63DA4">
        <w:fldChar w:fldCharType="separate"/>
      </w:r>
      <w:r w:rsidR="00D90199" w:rsidRPr="00D90199">
        <w:rPr>
          <w:lang w:val="en-GB"/>
        </w:rPr>
        <w:t>62</w:t>
      </w:r>
      <w:r w:rsidRPr="00D63DA4">
        <w:fldChar w:fldCharType="end"/>
      </w:r>
      <w:r w:rsidRPr="00D63DA4">
        <w:rPr>
          <w:lang w:val="en-GB"/>
        </w:rPr>
        <w:t xml:space="preserve"> above, at § 1; HRC, </w:t>
      </w:r>
      <w:r w:rsidRPr="00D63DA4">
        <w:rPr>
          <w:i/>
          <w:lang w:val="en-GB"/>
        </w:rPr>
        <w:t>Abubakar Amirov and Aïzan Amirova v. Russi</w:t>
      </w:r>
      <w:r w:rsidRPr="00D63DA4">
        <w:rPr>
          <w:lang w:val="en-GB"/>
        </w:rPr>
        <w:t>a</w:t>
      </w:r>
      <w:r w:rsidRPr="00D63DA4">
        <w:rPr>
          <w:i/>
          <w:lang w:val="en-GB"/>
        </w:rPr>
        <w:t>n Federation</w:t>
      </w:r>
      <w:r w:rsidRPr="00D63DA4">
        <w:rPr>
          <w:lang w:val="en-GB"/>
        </w:rPr>
        <w:t xml:space="preserve">, communication no. 1447/2006, views of 22 April 2009, § 11.2, </w:t>
      </w:r>
      <w:r w:rsidRPr="00D63DA4">
        <w:rPr>
          <w:bCs/>
          <w:lang w:val="en-GB"/>
        </w:rPr>
        <w:t>CCPR/C/95/D/1447/2006</w:t>
      </w:r>
      <w:r w:rsidRPr="00D63DA4">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73" w:name="_Ref343611663"/>
      <w:bookmarkEnd w:id="72"/>
    </w:p>
    <w:p w:rsidR="003E3F85" w:rsidRPr="00D63DA4" w:rsidRDefault="003E3F85" w:rsidP="003E3F85">
      <w:pPr>
        <w:pStyle w:val="ListParagraph"/>
        <w:rPr>
          <w:lang w:val="en-GB"/>
        </w:rPr>
      </w:pPr>
    </w:p>
    <w:p w:rsidR="003E3F85" w:rsidRPr="00D63DA4" w:rsidRDefault="003E3F85" w:rsidP="003E3F85">
      <w:pPr>
        <w:numPr>
          <w:ilvl w:val="0"/>
          <w:numId w:val="2"/>
        </w:numPr>
        <w:tabs>
          <w:tab w:val="left" w:pos="709"/>
        </w:tabs>
        <w:suppressAutoHyphens/>
        <w:autoSpaceDE w:val="0"/>
        <w:jc w:val="both"/>
        <w:rPr>
          <w:lang w:val="en-GB"/>
        </w:rPr>
      </w:pPr>
      <w:r w:rsidRPr="00D63DA4">
        <w:rPr>
          <w:lang w:val="en-GB"/>
        </w:rPr>
        <w:t xml:space="preserve">The Panel appreciates the difficulties encountered by UNMIK during the first phase of its </w:t>
      </w:r>
      <w:r w:rsidRPr="00D63DA4">
        <w:t>deployment</w:t>
      </w:r>
      <w:r w:rsidRPr="00D63DA4">
        <w:rPr>
          <w:lang w:val="en-GB"/>
        </w:rPr>
        <w:t xml:space="preserve">.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D63DA4">
        <w:rPr>
          <w:i/>
          <w:lang w:val="en-GB"/>
        </w:rPr>
        <w:t>mutatis mutandis</w:t>
      </w:r>
      <w:r w:rsidRPr="00D63DA4">
        <w:rPr>
          <w:lang w:val="en-GB"/>
        </w:rPr>
        <w:t xml:space="preserve">, ECtHR, </w:t>
      </w:r>
      <w:r w:rsidRPr="00D63DA4">
        <w:rPr>
          <w:i/>
          <w:lang w:val="en-GB"/>
        </w:rPr>
        <w:t>R.R. and Others v. Hungary</w:t>
      </w:r>
      <w:r w:rsidRPr="00D63DA4">
        <w:rPr>
          <w:lang w:val="en-GB"/>
        </w:rPr>
        <w:t xml:space="preserve">, no. 19400/11, judgment of 4 December 2012, §§ 28-32), as well as to consider the special vulnerability of displaced persons in post-conflict situations (see ECtHR [GC], </w:t>
      </w:r>
      <w:r w:rsidRPr="00D63DA4">
        <w:rPr>
          <w:i/>
          <w:lang w:val="en-GB"/>
        </w:rPr>
        <w:t xml:space="preserve">Sargsyan v. Azerbaijan, </w:t>
      </w:r>
      <w:r w:rsidRPr="00D63DA4">
        <w:rPr>
          <w:lang w:val="en-GB"/>
        </w:rPr>
        <w:t xml:space="preserve">no. 40167/06, decision of 14 December 2011, § 145; and ECtHR [GC], </w:t>
      </w:r>
      <w:r w:rsidRPr="00D63DA4">
        <w:rPr>
          <w:i/>
          <w:lang w:val="en-GB"/>
        </w:rPr>
        <w:t>Chiragov and Others v. Armenia</w:t>
      </w:r>
      <w:r w:rsidRPr="00D63DA4">
        <w:rPr>
          <w:lang w:val="en-GB"/>
        </w:rPr>
        <w:t xml:space="preserve">, no. 13216/05, decision of 14 December 2011, § 146). While understanding that the deployment and the organisation of the police and justice apparatus occurred gradually, the Panel deems that this process was completed in 2003 when the police </w:t>
      </w:r>
      <w:r w:rsidRPr="00D63DA4">
        <w:rPr>
          <w:lang w:val="en-GB"/>
        </w:rPr>
        <w:lastRenderedPageBreak/>
        <w:t xml:space="preserve">and justice system in Kosovo was described as being “well-functioning” and “sustainable” by the UN Secretary-General (see § </w:t>
      </w:r>
      <w:r w:rsidRPr="00D63DA4">
        <w:fldChar w:fldCharType="begin"/>
      </w:r>
      <w:r w:rsidRPr="00D63DA4">
        <w:instrText xml:space="preserve"> REF _Ref346123767 \r \h  \* MERGEFORMAT </w:instrText>
      </w:r>
      <w:r w:rsidRPr="00D63DA4">
        <w:fldChar w:fldCharType="separate"/>
      </w:r>
      <w:r w:rsidR="00D90199" w:rsidRPr="00D90199">
        <w:rPr>
          <w:lang w:val="en-GB"/>
        </w:rPr>
        <w:t>15</w:t>
      </w:r>
      <w:r w:rsidRPr="00D63DA4">
        <w:fldChar w:fldCharType="end"/>
      </w:r>
      <w:r w:rsidRPr="00D63DA4">
        <w:rPr>
          <w:lang w:val="en-GB"/>
        </w:rPr>
        <w:t xml:space="preserve"> above).</w:t>
      </w:r>
      <w:bookmarkEnd w:id="73"/>
    </w:p>
    <w:p w:rsidR="003E3F85" w:rsidRPr="00D63DA4" w:rsidRDefault="003E3F85" w:rsidP="003E3F85">
      <w:pPr>
        <w:pStyle w:val="ListParagraph"/>
        <w:suppressAutoHyphens w:val="0"/>
        <w:ind w:left="567"/>
        <w:contextualSpacing/>
        <w:jc w:val="both"/>
        <w:rPr>
          <w:lang w:val="en-GB" w:eastAsia="en-US"/>
        </w:rPr>
      </w:pPr>
    </w:p>
    <w:p w:rsidR="003E3F85" w:rsidRPr="00D63DA4" w:rsidRDefault="003E3F85" w:rsidP="003E3F85">
      <w:pPr>
        <w:numPr>
          <w:ilvl w:val="0"/>
          <w:numId w:val="2"/>
        </w:numPr>
        <w:tabs>
          <w:tab w:val="left" w:pos="709"/>
        </w:tabs>
        <w:suppressAutoHyphens/>
        <w:autoSpaceDE w:val="0"/>
        <w:jc w:val="both"/>
        <w:rPr>
          <w:rStyle w:val="sb8d990e2"/>
          <w:lang w:val="en-GB"/>
        </w:rPr>
      </w:pPr>
      <w:bookmarkStart w:id="74" w:name="_Ref366163789"/>
      <w:r w:rsidRPr="00D63DA4">
        <w:rPr>
          <w:rStyle w:val="sb8d990e2"/>
          <w:lang w:val="en-GB"/>
        </w:rPr>
        <w:t xml:space="preserve">The Panel </w:t>
      </w:r>
      <w:r w:rsidRPr="00D63DA4">
        <w:t>further</w:t>
      </w:r>
      <w:r w:rsidRPr="00D63DA4">
        <w:rPr>
          <w:rStyle w:val="sb8d990e2"/>
          <w:lang w:val="en-GB"/>
        </w:rPr>
        <w:t xml:space="preserve"> notes that its task is not to review relevant practices or alleged obstacles to the conduct of effective investigations </w:t>
      </w:r>
      <w:r w:rsidRPr="00D63DA4">
        <w:rPr>
          <w:rStyle w:val="s6b621b36"/>
          <w:i/>
          <w:lang w:val="en-GB"/>
        </w:rPr>
        <w:t xml:space="preserve">in </w:t>
      </w:r>
      <w:r w:rsidRPr="00D63DA4">
        <w:rPr>
          <w:rStyle w:val="wordhighlighted"/>
          <w:i/>
          <w:lang w:val="en-GB"/>
        </w:rPr>
        <w:t>abstracto</w:t>
      </w:r>
      <w:r w:rsidRPr="00D63DA4">
        <w:rPr>
          <w:rStyle w:val="sb8d990e2"/>
          <w:lang w:val="en-GB"/>
        </w:rPr>
        <w:t>, but only in relation to their specific </w:t>
      </w:r>
      <w:r w:rsidRPr="00D63DA4">
        <w:t>application</w:t>
      </w:r>
      <w:r w:rsidRPr="00D63DA4">
        <w:rPr>
          <w:rStyle w:val="sb8d990e2"/>
          <w:lang w:val="en-GB"/>
        </w:rPr>
        <w:t xml:space="preserve"> to the particular circumstances of a situation subject of a complaint before it (see, ECtHR, </w:t>
      </w:r>
      <w:r w:rsidRPr="00D63DA4">
        <w:rPr>
          <w:rStyle w:val="s6b621b36"/>
          <w:i/>
          <w:lang w:val="en-GB"/>
        </w:rPr>
        <w:t>Brogan and Others v. the United Kingdom</w:t>
      </w:r>
      <w:r w:rsidRPr="00D63DA4">
        <w:rPr>
          <w:rStyle w:val="sb8d990e2"/>
          <w:lang w:val="en-GB"/>
        </w:rPr>
        <w:t xml:space="preserve">, </w:t>
      </w:r>
      <w:r w:rsidRPr="00D63DA4">
        <w:rPr>
          <w:rStyle w:val="column01"/>
          <w:lang w:val="en-GB"/>
        </w:rPr>
        <w:t>judgment of</w:t>
      </w:r>
      <w:r w:rsidRPr="00D63DA4">
        <w:rPr>
          <w:rStyle w:val="sb8d990e2"/>
          <w:lang w:val="en-GB"/>
        </w:rPr>
        <w:t xml:space="preserve"> 29 November 1988,</w:t>
      </w:r>
      <w:r w:rsidRPr="00D63DA4">
        <w:rPr>
          <w:lang w:val="en-GB"/>
        </w:rPr>
        <w:t xml:space="preserve"> </w:t>
      </w:r>
      <w:r w:rsidRPr="00D63DA4">
        <w:rPr>
          <w:rStyle w:val="sb8d990e2"/>
          <w:lang w:val="en-GB"/>
        </w:rPr>
        <w:t xml:space="preserve">§ 53, Series A no. 145-B). </w:t>
      </w:r>
      <w:r w:rsidRPr="00D63DA4">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D63DA4">
        <w:rPr>
          <w:rStyle w:val="sb8d990e2"/>
          <w:lang w:val="en-GB"/>
        </w:rPr>
        <w:t>For these reasons, the Panel considers that it will establish with regard to each case if all reasonable steps were taken to conduct an effective investigation as prescribed by Article 2,</w:t>
      </w:r>
      <w:r w:rsidRPr="00D63DA4">
        <w:rPr>
          <w:lang w:val="en-GB"/>
        </w:rPr>
        <w:t xml:space="preserve"> </w:t>
      </w:r>
      <w:r w:rsidRPr="00D63DA4">
        <w:rPr>
          <w:rStyle w:val="sb8d990e2"/>
          <w:lang w:val="en-GB"/>
        </w:rPr>
        <w:t>having regard to the realities of the investigative work in Kosovo.</w:t>
      </w:r>
      <w:bookmarkEnd w:id="74"/>
    </w:p>
    <w:p w:rsidR="003E3F85" w:rsidRPr="00D63DA4" w:rsidRDefault="003E3F85" w:rsidP="003E3F85">
      <w:pPr>
        <w:pStyle w:val="ListParagraph"/>
        <w:rPr>
          <w:rStyle w:val="sb8d990e2"/>
          <w:lang w:val="en-GB" w:eastAsia="en-US"/>
        </w:rPr>
      </w:pPr>
    </w:p>
    <w:p w:rsidR="003E3F85" w:rsidRPr="00D63DA4" w:rsidRDefault="003E3F85" w:rsidP="003E3F85">
      <w:pPr>
        <w:numPr>
          <w:ilvl w:val="0"/>
          <w:numId w:val="2"/>
        </w:numPr>
        <w:tabs>
          <w:tab w:val="left" w:pos="709"/>
        </w:tabs>
        <w:suppressAutoHyphens/>
        <w:autoSpaceDE w:val="0"/>
        <w:jc w:val="both"/>
        <w:rPr>
          <w:lang w:eastAsia="nl-NL"/>
        </w:rPr>
      </w:pPr>
      <w:bookmarkStart w:id="75" w:name="_Ref398136135"/>
      <w:r w:rsidRPr="00D63DA4">
        <w:t xml:space="preserve">Lastly, in response to the SRSG’s objection that Article 2 must be interpreted in a way which </w:t>
      </w:r>
      <w:r w:rsidRPr="00D63DA4">
        <w:rPr>
          <w:lang w:val="en-GB"/>
        </w:rPr>
        <w:t>does</w:t>
      </w:r>
      <w:r w:rsidRPr="00D63DA4">
        <w:t xml:space="preserve"> not </w:t>
      </w:r>
      <w:r w:rsidRPr="00D63DA4">
        <w:rPr>
          <w:lang w:val="en-GB"/>
        </w:rPr>
        <w:t>impose</w:t>
      </w:r>
      <w:r w:rsidRPr="00D63DA4">
        <w:t xml:space="preserv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measured by the very particular facts and contexts (see ECtHR, </w:t>
      </w:r>
      <w:r w:rsidRPr="00D63DA4">
        <w:rPr>
          <w:i/>
        </w:rPr>
        <w:t>Palić v. Bosnia and Herzegovina,</w:t>
      </w:r>
      <w:r w:rsidRPr="00D63DA4">
        <w:t xml:space="preserve"> cited in § </w:t>
      </w:r>
      <w:r w:rsidRPr="00D63DA4">
        <w:fldChar w:fldCharType="begin"/>
      </w:r>
      <w:r w:rsidRPr="00D63DA4">
        <w:instrText xml:space="preserve"> REF _Ref366239979 \r \h  \* MERGEFORMAT </w:instrText>
      </w:r>
      <w:r w:rsidRPr="00D63DA4">
        <w:fldChar w:fldCharType="separate"/>
      </w:r>
      <w:r w:rsidR="00D90199">
        <w:t>67</w:t>
      </w:r>
      <w:r w:rsidRPr="00D63DA4">
        <w:fldChar w:fldCharType="end"/>
      </w:r>
      <w:r w:rsidRPr="00D63DA4">
        <w:t xml:space="preserve"> above, at § 70; </w:t>
      </w:r>
      <w:r w:rsidRPr="00D63DA4">
        <w:rPr>
          <w:i/>
        </w:rPr>
        <w:t>Brecknell v. The United Kingdom,</w:t>
      </w:r>
      <w:r w:rsidRPr="00D63DA4">
        <w:t xml:space="preserve"> no. 32457/04, judgment of 27 November 2007, § 62).</w:t>
      </w:r>
      <w:bookmarkEnd w:id="75"/>
    </w:p>
    <w:p w:rsidR="003E3F85" w:rsidRPr="00D63DA4" w:rsidRDefault="003E3F85" w:rsidP="003E3F85">
      <w:pPr>
        <w:pStyle w:val="ListParagraph"/>
        <w:rPr>
          <w:rStyle w:val="sb8d990e2"/>
          <w:lang w:eastAsia="nl-NL"/>
        </w:rPr>
      </w:pPr>
    </w:p>
    <w:p w:rsidR="003E3F85" w:rsidRPr="00D63DA4" w:rsidRDefault="003E3F85" w:rsidP="003E3F85">
      <w:pPr>
        <w:pStyle w:val="ListParagraph"/>
        <w:numPr>
          <w:ilvl w:val="0"/>
          <w:numId w:val="7"/>
        </w:numPr>
        <w:contextualSpacing/>
        <w:jc w:val="both"/>
        <w:rPr>
          <w:i/>
          <w:lang w:val="en-GB"/>
        </w:rPr>
      </w:pPr>
      <w:r w:rsidRPr="00D63DA4">
        <w:rPr>
          <w:i/>
          <w:lang w:val="en-GB"/>
        </w:rPr>
        <w:t>Compliance with Article 2 in the present case</w:t>
      </w:r>
    </w:p>
    <w:p w:rsidR="003E3F85" w:rsidRPr="00D63DA4" w:rsidRDefault="003E3F85" w:rsidP="003E3F85">
      <w:pPr>
        <w:rPr>
          <w:lang w:val="en-GB"/>
        </w:rPr>
      </w:pPr>
    </w:p>
    <w:p w:rsidR="003E3F85" w:rsidRPr="00D63DA4" w:rsidRDefault="003E3F85" w:rsidP="003E3F85">
      <w:pPr>
        <w:numPr>
          <w:ilvl w:val="0"/>
          <w:numId w:val="2"/>
        </w:numPr>
        <w:tabs>
          <w:tab w:val="left" w:pos="709"/>
        </w:tabs>
        <w:suppressAutoHyphens/>
        <w:autoSpaceDE w:val="0"/>
        <w:jc w:val="both"/>
        <w:rPr>
          <w:lang w:eastAsia="nl-NL"/>
        </w:rPr>
      </w:pPr>
      <w:r w:rsidRPr="00D63DA4">
        <w:rPr>
          <w:lang w:val="en-GB"/>
        </w:rPr>
        <w:t xml:space="preserve">Turning to the particulars of this case, the Panel notes that the investigative file reflects that UNMIK became aware of </w:t>
      </w:r>
      <w:r w:rsidR="00BF3546" w:rsidRPr="00D63DA4">
        <w:rPr>
          <w:bCs/>
          <w:lang w:val="en-GB"/>
        </w:rPr>
        <w:t xml:space="preserve">Mr Momir </w:t>
      </w:r>
      <w:r w:rsidR="00BF3546" w:rsidRPr="00D63DA4">
        <w:t>Milenković</w:t>
      </w:r>
      <w:r w:rsidR="00BF3546" w:rsidRPr="00D63DA4">
        <w:rPr>
          <w:lang w:val="en-GB"/>
        </w:rPr>
        <w:t>’s abduction</w:t>
      </w:r>
      <w:r w:rsidR="00D04174" w:rsidRPr="00D63DA4">
        <w:rPr>
          <w:lang w:val="en-GB"/>
        </w:rPr>
        <w:t xml:space="preserve"> and disappearance</w:t>
      </w:r>
      <w:r w:rsidR="00BF3546" w:rsidRPr="00D63DA4">
        <w:rPr>
          <w:lang w:val="en-GB"/>
        </w:rPr>
        <w:t xml:space="preserve"> sometime in 1999, as the MPU case file must have been opened in </w:t>
      </w:r>
      <w:r w:rsidR="002948A6" w:rsidRPr="00D63DA4">
        <w:rPr>
          <w:lang w:val="en-GB"/>
        </w:rPr>
        <w:t>1999</w:t>
      </w:r>
      <w:r w:rsidR="00BF3546" w:rsidRPr="00D63DA4">
        <w:rPr>
          <w:lang w:val="en-GB"/>
        </w:rPr>
        <w:t>, according to the file number 1999-000520 that MPU affixed to the case</w:t>
      </w:r>
      <w:r w:rsidR="002948A6" w:rsidRPr="00D63DA4">
        <w:rPr>
          <w:lang w:val="en-GB"/>
        </w:rPr>
        <w:t xml:space="preserve"> </w:t>
      </w:r>
      <w:r w:rsidRPr="00D63DA4">
        <w:rPr>
          <w:lang w:val="en-GB"/>
        </w:rPr>
        <w:t>(see §</w:t>
      </w:r>
      <w:r w:rsidRPr="00D63DA4">
        <w:t xml:space="preserve"> </w:t>
      </w:r>
      <w:r w:rsidR="006E61AD" w:rsidRPr="00D63DA4">
        <w:fldChar w:fldCharType="begin"/>
      </w:r>
      <w:r w:rsidR="006E61AD" w:rsidRPr="00D63DA4">
        <w:instrText xml:space="preserve"> REF _Ref394589400 \r \h </w:instrText>
      </w:r>
      <w:r w:rsidR="007C303C" w:rsidRPr="00D63DA4">
        <w:instrText xml:space="preserve"> \* MERGEFORMAT </w:instrText>
      </w:r>
      <w:r w:rsidR="006E61AD" w:rsidRPr="00D63DA4">
        <w:fldChar w:fldCharType="separate"/>
      </w:r>
      <w:r w:rsidR="00D90199">
        <w:t>25</w:t>
      </w:r>
      <w:r w:rsidR="006E61AD" w:rsidRPr="00D63DA4">
        <w:fldChar w:fldCharType="end"/>
      </w:r>
      <w:r w:rsidRPr="00D63DA4">
        <w:rPr>
          <w:lang w:val="en-GB"/>
        </w:rPr>
        <w:t xml:space="preserve"> above).</w:t>
      </w:r>
    </w:p>
    <w:p w:rsidR="003E3F85" w:rsidRPr="00D63DA4" w:rsidRDefault="003E3F85" w:rsidP="003E3F85">
      <w:pPr>
        <w:pStyle w:val="ListParagraph"/>
        <w:suppressAutoHyphens w:val="0"/>
        <w:ind w:left="360"/>
        <w:contextualSpacing/>
        <w:jc w:val="both"/>
        <w:rPr>
          <w:lang w:val="en-GB" w:eastAsia="en-US"/>
        </w:rPr>
      </w:pPr>
    </w:p>
    <w:p w:rsidR="003E3F85" w:rsidRPr="00D63DA4" w:rsidRDefault="003E3F85" w:rsidP="003E3F85">
      <w:pPr>
        <w:numPr>
          <w:ilvl w:val="0"/>
          <w:numId w:val="2"/>
        </w:numPr>
        <w:tabs>
          <w:tab w:val="left" w:pos="709"/>
        </w:tabs>
        <w:suppressAutoHyphens/>
        <w:autoSpaceDE w:val="0"/>
        <w:jc w:val="both"/>
        <w:rPr>
          <w:b/>
          <w:i/>
          <w:u w:val="single"/>
          <w:lang w:val="en-GB"/>
        </w:rPr>
      </w:pPr>
      <w:r w:rsidRPr="00D63DA4">
        <w:rPr>
          <w:lang w:val="en-GB"/>
        </w:rPr>
        <w:t xml:space="preserve">The purpose of this investigation was to </w:t>
      </w:r>
      <w:r w:rsidRPr="00D63DA4">
        <w:rPr>
          <w:lang w:val="en-GB" w:eastAsia="en-GB"/>
        </w:rPr>
        <w:t xml:space="preserve">discover the truth about the circumstances of </w:t>
      </w:r>
      <w:r w:rsidR="00BF3546" w:rsidRPr="00D63DA4">
        <w:rPr>
          <w:bCs/>
          <w:lang w:val="en-GB"/>
        </w:rPr>
        <w:t xml:space="preserve">Mr Momir </w:t>
      </w:r>
      <w:r w:rsidR="00BF3546" w:rsidRPr="00D63DA4">
        <w:t>Milenković</w:t>
      </w:r>
      <w:r w:rsidR="00BF3546" w:rsidRPr="00D63DA4">
        <w:rPr>
          <w:lang w:val="en-GB"/>
        </w:rPr>
        <w:t>’s abduction</w:t>
      </w:r>
      <w:r w:rsidR="00D04174" w:rsidRPr="00D63DA4">
        <w:rPr>
          <w:lang w:val="en-GB"/>
        </w:rPr>
        <w:t xml:space="preserve"> and disappearance</w:t>
      </w:r>
      <w:r w:rsidR="00BF3546" w:rsidRPr="00D63DA4">
        <w:rPr>
          <w:lang w:val="en-GB"/>
        </w:rPr>
        <w:t xml:space="preserve"> </w:t>
      </w:r>
      <w:r w:rsidRPr="00D63DA4">
        <w:rPr>
          <w:lang w:val="en-GB"/>
        </w:rPr>
        <w:t>and to identify the perpetrators</w:t>
      </w:r>
      <w:r w:rsidRPr="00D63DA4">
        <w:rPr>
          <w:lang w:val="en-GB" w:eastAsia="en-GB"/>
        </w:rPr>
        <w:t xml:space="preserve">. To fulfil these purposes, those conducting the investigation were required to seek, collect and preserve evidentiary material; to identify possible </w:t>
      </w:r>
      <w:r w:rsidRPr="00D63DA4">
        <w:rPr>
          <w:lang w:val="en-GB"/>
        </w:rPr>
        <w:t>witnesses</w:t>
      </w:r>
      <w:r w:rsidRPr="00D63DA4">
        <w:rPr>
          <w:lang w:val="en-GB" w:eastAsia="en-GB"/>
        </w:rPr>
        <w:t xml:space="preserve"> and to obtain their statements; to identify the perpetrator(s) and bring them before a competent court established by law.</w:t>
      </w:r>
    </w:p>
    <w:p w:rsidR="003E3F85" w:rsidRPr="00D63DA4" w:rsidRDefault="003E3F85" w:rsidP="003E3F85">
      <w:pPr>
        <w:pStyle w:val="ListParagraph"/>
        <w:suppressAutoHyphens w:val="0"/>
        <w:ind w:left="360"/>
        <w:contextualSpacing/>
        <w:jc w:val="both"/>
        <w:rPr>
          <w:lang w:val="en-GB" w:eastAsia="en-US"/>
        </w:rPr>
      </w:pPr>
    </w:p>
    <w:p w:rsidR="003E3F85" w:rsidRPr="00D63DA4" w:rsidRDefault="003E3F85" w:rsidP="003E3F85">
      <w:pPr>
        <w:numPr>
          <w:ilvl w:val="0"/>
          <w:numId w:val="2"/>
        </w:numPr>
        <w:tabs>
          <w:tab w:val="left" w:pos="709"/>
        </w:tabs>
        <w:suppressAutoHyphens/>
        <w:autoSpaceDE w:val="0"/>
        <w:jc w:val="both"/>
        <w:rPr>
          <w:lang w:val="en-GB" w:eastAsia="en-GB"/>
        </w:rPr>
      </w:pPr>
      <w:r w:rsidRPr="00D63DA4">
        <w:rPr>
          <w:lang w:val="en-GB" w:eastAsia="en-GB"/>
        </w:rPr>
        <w:t xml:space="preserve">The Panel recalls that in order to be effective, the investigative actions must be conducted promptly and expeditiously, with the authorities taking all reasonable steps and following obvious lines of enquiry to secure the evidence concerning the incident, including, </w:t>
      </w:r>
      <w:r w:rsidRPr="00D63DA4">
        <w:rPr>
          <w:i/>
          <w:lang w:val="en-GB" w:eastAsia="en-GB"/>
        </w:rPr>
        <w:t>inter alia</w:t>
      </w:r>
      <w:r w:rsidRPr="00D63DA4">
        <w:rPr>
          <w:lang w:val="en-GB" w:eastAsia="en-GB"/>
        </w:rPr>
        <w:t xml:space="preserve"> eye-witness </w:t>
      </w:r>
      <w:r w:rsidRPr="00D63DA4">
        <w:rPr>
          <w:lang w:val="en-GB"/>
        </w:rPr>
        <w:t>testimony</w:t>
      </w:r>
      <w:r w:rsidRPr="00D63DA4">
        <w:rPr>
          <w:lang w:val="en-GB" w:eastAsia="en-GB"/>
        </w:rPr>
        <w:t xml:space="preserve">, forensic evidence etc. The investigation must also ensure a sufficient element of public scrutiny and be reasonably </w:t>
      </w:r>
      <w:r w:rsidRPr="00D63DA4">
        <w:rPr>
          <w:lang w:val="en-GB"/>
        </w:rPr>
        <w:t>accessible to the victim’s family. T</w:t>
      </w:r>
      <w:r w:rsidRPr="00D63DA4">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of the investigative work must be taken into consideration </w:t>
      </w:r>
      <w:r w:rsidRPr="00D63DA4">
        <w:rPr>
          <w:bCs/>
          <w:lang w:val="en-GB"/>
        </w:rPr>
        <w:t xml:space="preserve"> (see §§ </w:t>
      </w:r>
      <w:r w:rsidRPr="00D63DA4">
        <w:fldChar w:fldCharType="begin"/>
      </w:r>
      <w:r w:rsidRPr="00D63DA4">
        <w:instrText xml:space="preserve"> REF _Ref366239979 \r \h  \* MERGEFORMAT </w:instrText>
      </w:r>
      <w:r w:rsidRPr="00D63DA4">
        <w:fldChar w:fldCharType="separate"/>
      </w:r>
      <w:r w:rsidR="00D90199" w:rsidRPr="00D90199">
        <w:rPr>
          <w:bCs/>
          <w:lang w:val="en-GB"/>
        </w:rPr>
        <w:t>67</w:t>
      </w:r>
      <w:r w:rsidRPr="00D63DA4">
        <w:fldChar w:fldCharType="end"/>
      </w:r>
      <w:r w:rsidRPr="00D63DA4">
        <w:rPr>
          <w:bCs/>
          <w:lang w:val="en-GB"/>
        </w:rPr>
        <w:t xml:space="preserve"> - </w:t>
      </w:r>
      <w:r w:rsidRPr="00D63DA4">
        <w:fldChar w:fldCharType="begin"/>
      </w:r>
      <w:r w:rsidRPr="00D63DA4">
        <w:instrText xml:space="preserve"> REF _Ref373832219 \r \h  \* MERGEFORMAT </w:instrText>
      </w:r>
      <w:r w:rsidRPr="00D63DA4">
        <w:fldChar w:fldCharType="separate"/>
      </w:r>
      <w:r w:rsidR="00D90199" w:rsidRPr="00D90199">
        <w:rPr>
          <w:bCs/>
          <w:lang w:val="en-GB"/>
        </w:rPr>
        <w:t>68</w:t>
      </w:r>
      <w:r w:rsidRPr="00D63DA4">
        <w:fldChar w:fldCharType="end"/>
      </w:r>
      <w:r w:rsidRPr="00D63DA4">
        <w:rPr>
          <w:bCs/>
          <w:lang w:val="en-GB"/>
        </w:rPr>
        <w:t xml:space="preserve"> above).</w:t>
      </w:r>
    </w:p>
    <w:p w:rsidR="003E3F85" w:rsidRPr="00D63DA4" w:rsidRDefault="003E3F85" w:rsidP="003E3F85">
      <w:pPr>
        <w:pStyle w:val="ListParagraph"/>
        <w:suppressAutoHyphens w:val="0"/>
        <w:ind w:left="360"/>
        <w:contextualSpacing/>
        <w:jc w:val="both"/>
        <w:rPr>
          <w:lang w:val="en-GB" w:eastAsia="en-US"/>
        </w:rPr>
      </w:pPr>
    </w:p>
    <w:p w:rsidR="003E3F85" w:rsidRPr="00D63DA4" w:rsidRDefault="003E3F85" w:rsidP="003E3F85">
      <w:pPr>
        <w:numPr>
          <w:ilvl w:val="0"/>
          <w:numId w:val="2"/>
        </w:numPr>
        <w:tabs>
          <w:tab w:val="left" w:pos="709"/>
        </w:tabs>
        <w:suppressAutoHyphens/>
        <w:autoSpaceDE w:val="0"/>
        <w:jc w:val="both"/>
        <w:rPr>
          <w:lang w:val="en-GB"/>
        </w:rPr>
      </w:pPr>
      <w:r w:rsidRPr="00D63DA4">
        <w:rPr>
          <w:bCs/>
          <w:lang w:val="en-GB"/>
        </w:rPr>
        <w:t>The</w:t>
      </w:r>
      <w:r w:rsidRPr="00D63DA4">
        <w:rPr>
          <w:lang w:val="en-GB"/>
        </w:rPr>
        <w:t xml:space="preserve"> Panel notes that there were obvious shortcomings in the conduct of the investigation from its </w:t>
      </w:r>
      <w:r w:rsidRPr="00D63DA4">
        <w:rPr>
          <w:lang w:val="en-GB" w:eastAsia="en-GB"/>
        </w:rPr>
        <w:t>commencement</w:t>
      </w:r>
      <w:r w:rsidRPr="00D63DA4">
        <w:rPr>
          <w:lang w:val="en-GB"/>
        </w:rPr>
        <w:t xml:space="preserve">. However, in light of the considerations developed above concerning its limited temporal jurisdiction (see § </w:t>
      </w:r>
      <w:r w:rsidRPr="00D63DA4">
        <w:fldChar w:fldCharType="begin"/>
      </w:r>
      <w:r w:rsidRPr="00D63DA4">
        <w:instrText xml:space="preserve"> REF _Ref346123885 \r \h  \* MERGEFORMAT </w:instrText>
      </w:r>
      <w:r w:rsidRPr="00D63DA4">
        <w:fldChar w:fldCharType="separate"/>
      </w:r>
      <w:r w:rsidR="00D90199" w:rsidRPr="00D90199">
        <w:rPr>
          <w:lang w:val="en-GB"/>
        </w:rPr>
        <w:t>40</w:t>
      </w:r>
      <w:r w:rsidRPr="00D63DA4">
        <w:fldChar w:fldCharType="end"/>
      </w:r>
      <w:r w:rsidRPr="00D63DA4">
        <w:rPr>
          <w:lang w:val="en-GB"/>
        </w:rPr>
        <w:t xml:space="preserve"> above), the Panel recalls that it is competent </w:t>
      </w:r>
      <w:r w:rsidRPr="00D63DA4">
        <w:rPr>
          <w:i/>
          <w:lang w:val="en-GB"/>
        </w:rPr>
        <w:t>ratione temporis</w:t>
      </w:r>
      <w:r w:rsidRPr="00D63DA4">
        <w:rPr>
          <w:lang w:val="en-GB"/>
        </w:rPr>
        <w:t xml:space="preserve"> to evaluate the compliance of the investigation with Article 2 of the ECHR only for the period after 23 April 2005, while taking into consideration the state of the case at that date (see ECtHR, </w:t>
      </w:r>
      <w:r w:rsidRPr="00D63DA4">
        <w:rPr>
          <w:i/>
        </w:rPr>
        <w:t>Palić v. Bosnia and Herzegovina,</w:t>
      </w:r>
      <w:r w:rsidRPr="00D63DA4">
        <w:t xml:space="preserve"> cited in § </w:t>
      </w:r>
      <w:r w:rsidRPr="00D63DA4">
        <w:fldChar w:fldCharType="begin"/>
      </w:r>
      <w:r w:rsidRPr="00D63DA4">
        <w:instrText xml:space="preserve"> REF _Ref366239979 \r \h  \* MERGEFORMAT </w:instrText>
      </w:r>
      <w:r w:rsidRPr="00D63DA4">
        <w:fldChar w:fldCharType="separate"/>
      </w:r>
      <w:r w:rsidR="00D90199">
        <w:t>67</w:t>
      </w:r>
      <w:r w:rsidRPr="00D63DA4">
        <w:fldChar w:fldCharType="end"/>
      </w:r>
      <w:r w:rsidRPr="00D63DA4">
        <w:t xml:space="preserve"> above, at § 70</w:t>
      </w:r>
      <w:r w:rsidRPr="00D63DA4">
        <w:rPr>
          <w:lang w:val="en-GB"/>
        </w:rPr>
        <w:t xml:space="preserve">). The period under review ends on 9 December 2008, with EULEX taking over responsibility in the area of administration of justice (see § </w:t>
      </w:r>
      <w:r w:rsidRPr="00D63DA4">
        <w:fldChar w:fldCharType="begin"/>
      </w:r>
      <w:r w:rsidRPr="00D63DA4">
        <w:instrText xml:space="preserve"> REF _Ref346123927 \r \h  \* MERGEFORMAT </w:instrText>
      </w:r>
      <w:r w:rsidRPr="00D63DA4">
        <w:fldChar w:fldCharType="separate"/>
      </w:r>
      <w:r w:rsidR="00D90199" w:rsidRPr="00D90199">
        <w:rPr>
          <w:lang w:val="en-GB"/>
        </w:rPr>
        <w:t>17</w:t>
      </w:r>
      <w:r w:rsidRPr="00D63DA4">
        <w:fldChar w:fldCharType="end"/>
      </w:r>
      <w:r w:rsidRPr="00D63DA4">
        <w:rPr>
          <w:lang w:val="en-GB"/>
        </w:rPr>
        <w:t xml:space="preserve"> above).</w:t>
      </w:r>
    </w:p>
    <w:p w:rsidR="003E3F85" w:rsidRPr="00D63DA4" w:rsidRDefault="003E3F85" w:rsidP="003E3F85">
      <w:pPr>
        <w:pStyle w:val="ListParagraph"/>
        <w:rPr>
          <w:lang w:val="en-GB"/>
        </w:rPr>
      </w:pPr>
    </w:p>
    <w:p w:rsidR="003E3F85" w:rsidRPr="00D63DA4" w:rsidRDefault="003E3F85" w:rsidP="003E3F85">
      <w:pPr>
        <w:numPr>
          <w:ilvl w:val="0"/>
          <w:numId w:val="2"/>
        </w:numPr>
        <w:tabs>
          <w:tab w:val="left" w:pos="709"/>
        </w:tabs>
        <w:suppressAutoHyphens/>
        <w:autoSpaceDE w:val="0"/>
        <w:jc w:val="both"/>
      </w:pPr>
      <w:bookmarkStart w:id="76" w:name="_Ref379796585"/>
      <w:r w:rsidRPr="00D63DA4">
        <w:t>The Panel notes in this regard that according to the 2000 Annual Report of UNMIK Police, the complete exec</w:t>
      </w:r>
      <w:r w:rsidR="002948A6" w:rsidRPr="00D63DA4">
        <w:t>utive policing powers in the Prishtinë/Priština</w:t>
      </w:r>
      <w:r w:rsidRPr="00D63DA4">
        <w:t xml:space="preserve"> region, including criminal investigations, were under the full control of UNMIK Police from</w:t>
      </w:r>
      <w:r w:rsidR="002948A6" w:rsidRPr="00D63DA4">
        <w:t xml:space="preserve"> 19 September 1999</w:t>
      </w:r>
      <w:r w:rsidRPr="00D63DA4">
        <w:t xml:space="preserve">. Therefore, it was UNMIK’s responsibility to ensure, </w:t>
      </w:r>
      <w:r w:rsidRPr="00D63DA4">
        <w:rPr>
          <w:i/>
        </w:rPr>
        <w:t>first</w:t>
      </w:r>
      <w:r w:rsidRPr="00D63DA4">
        <w:t xml:space="preserve">, that the investigation is conducted expeditiously and efficiently; </w:t>
      </w:r>
      <w:r w:rsidRPr="00D63DA4">
        <w:rPr>
          <w:i/>
        </w:rPr>
        <w:t>second</w:t>
      </w:r>
      <w:r w:rsidRPr="00D63DA4">
        <w:t xml:space="preserve">, that all relevant investigative material is properly handed over to the authority taking over responsibility for the investigation (EULEX); and </w:t>
      </w:r>
      <w:r w:rsidRPr="00D63DA4">
        <w:rPr>
          <w:i/>
        </w:rPr>
        <w:t>third</w:t>
      </w:r>
      <w:r w:rsidRPr="00D63DA4">
        <w:t>, that the investigative files could be traced and retrieved, should a need for that arise at any later stage.</w:t>
      </w:r>
      <w:bookmarkEnd w:id="76"/>
    </w:p>
    <w:p w:rsidR="003E3F85" w:rsidRPr="00D63DA4" w:rsidRDefault="003E3F85" w:rsidP="003E3F85"/>
    <w:p w:rsidR="003E3F85" w:rsidRPr="00D63DA4" w:rsidRDefault="003E3F85" w:rsidP="003E3F85">
      <w:pPr>
        <w:numPr>
          <w:ilvl w:val="0"/>
          <w:numId w:val="2"/>
        </w:numPr>
        <w:tabs>
          <w:tab w:val="left" w:pos="709"/>
        </w:tabs>
        <w:suppressAutoHyphens/>
        <w:autoSpaceDE w:val="0"/>
        <w:jc w:val="both"/>
      </w:pPr>
      <w:r w:rsidRPr="00D63DA4">
        <w:t xml:space="preserve">Having noted the SRSG’s assertion that the file submitted to the Panel may be incomplete, and his failure to provide further explanation in relation to this (see § </w:t>
      </w:r>
      <w:r w:rsidRPr="00D63DA4">
        <w:fldChar w:fldCharType="begin"/>
      </w:r>
      <w:r w:rsidRPr="00D63DA4">
        <w:instrText xml:space="preserve"> REF _Ref367285538 \r \h  \* MERGEFORMAT </w:instrText>
      </w:r>
      <w:r w:rsidRPr="00D63DA4">
        <w:fldChar w:fldCharType="separate"/>
      </w:r>
      <w:r w:rsidR="00D90199">
        <w:t>55</w:t>
      </w:r>
      <w:r w:rsidRPr="00D63DA4">
        <w:fldChar w:fldCharType="end"/>
      </w:r>
      <w:r w:rsidRPr="00D63DA4">
        <w:t xml:space="preserve"> above), the Panel assumes that UNMIK cannot guarantee whether the file presented to the Panel is complete or not. In case it is not complete, it would indicate that one of the following situations may have occurred: no proper investigation was carried out; the file was not accurately and fully handed over to EULEX; or UNMIK failed to retrieve the complete file from the current custodian. The Panel has already noted above that it has no reason to doubt UNMIK’s good faith in seeking to provide the complete investigative file for its review (see § </w:t>
      </w:r>
      <w:r w:rsidRPr="00D63DA4">
        <w:fldChar w:fldCharType="begin"/>
      </w:r>
      <w:r w:rsidRPr="00D63DA4">
        <w:instrText xml:space="preserve"> REF _Ref373945461 \r \h  \* MERGEFORMAT </w:instrText>
      </w:r>
      <w:r w:rsidRPr="00D63DA4">
        <w:fldChar w:fldCharType="separate"/>
      </w:r>
      <w:r w:rsidR="00D90199">
        <w:t>61</w:t>
      </w:r>
      <w:r w:rsidRPr="00D63DA4">
        <w:fldChar w:fldCharType="end"/>
      </w:r>
      <w:r w:rsidRPr="00D63DA4">
        <w:t xml:space="preserve"> above). However, the Panel considers that whichever of these potential explanations is applicable, it would indicate a failure directly attributable to UNMIK, either when it was exercising its executive functions, or in its current capacity.</w:t>
      </w:r>
    </w:p>
    <w:p w:rsidR="003E3F85" w:rsidRPr="00D63DA4" w:rsidRDefault="003E3F85" w:rsidP="00375153">
      <w:pPr>
        <w:jc w:val="both"/>
        <w:rPr>
          <w:lang w:val="en-GB"/>
        </w:rPr>
      </w:pPr>
    </w:p>
    <w:p w:rsidR="00BF3546" w:rsidRPr="00D63DA4" w:rsidRDefault="00BF3546" w:rsidP="00BF3546">
      <w:pPr>
        <w:numPr>
          <w:ilvl w:val="0"/>
          <w:numId w:val="2"/>
        </w:numPr>
        <w:tabs>
          <w:tab w:val="left" w:pos="709"/>
        </w:tabs>
        <w:suppressAutoHyphens/>
        <w:autoSpaceDE w:val="0"/>
        <w:jc w:val="both"/>
      </w:pPr>
      <w:r w:rsidRPr="00D63DA4">
        <w:rPr>
          <w:bCs/>
          <w:lang w:val="en-GB"/>
        </w:rPr>
        <w:t xml:space="preserve">With </w:t>
      </w:r>
      <w:r w:rsidRPr="00D63DA4">
        <w:rPr>
          <w:lang w:val="en-GB"/>
        </w:rPr>
        <w:t>regard</w:t>
      </w:r>
      <w:r w:rsidRPr="00D63DA4">
        <w:rPr>
          <w:bCs/>
          <w:lang w:val="en-GB"/>
        </w:rPr>
        <w:t xml:space="preserve"> to the first part of the </w:t>
      </w:r>
      <w:r w:rsidRPr="00D63DA4">
        <w:rPr>
          <w:lang w:val="en-GB"/>
        </w:rPr>
        <w:t>procedural</w:t>
      </w:r>
      <w:r w:rsidRPr="00D63DA4">
        <w:rPr>
          <w:bCs/>
          <w:lang w:val="en-GB"/>
        </w:rPr>
        <w:t xml:space="preserve"> obligation, that is locating the mortal remains of </w:t>
      </w:r>
      <w:r w:rsidR="005949E2" w:rsidRPr="00D63DA4">
        <w:rPr>
          <w:bCs/>
          <w:lang w:val="en-GB"/>
        </w:rPr>
        <w:t xml:space="preserve">Mr </w:t>
      </w:r>
      <w:r w:rsidRPr="00D63DA4">
        <w:rPr>
          <w:bCs/>
          <w:lang w:val="en-GB"/>
        </w:rPr>
        <w:t xml:space="preserve">Momir </w:t>
      </w:r>
      <w:r w:rsidRPr="00D63DA4">
        <w:t>Milenković</w:t>
      </w:r>
      <w:r w:rsidRPr="00D63DA4">
        <w:rPr>
          <w:lang w:val="en-GB"/>
        </w:rPr>
        <w:t>,</w:t>
      </w:r>
      <w:r w:rsidRPr="00D63DA4">
        <w:t xml:space="preserve"> t</w:t>
      </w:r>
      <w:r w:rsidR="003E3F85" w:rsidRPr="00D63DA4">
        <w:t>he</w:t>
      </w:r>
      <w:r w:rsidR="003E3F85" w:rsidRPr="00D63DA4">
        <w:rPr>
          <w:lang w:val="en-GB"/>
        </w:rPr>
        <w:t xml:space="preserve"> Panel notes that</w:t>
      </w:r>
      <w:r w:rsidRPr="00D63DA4">
        <w:rPr>
          <w:lang w:val="en-GB"/>
        </w:rPr>
        <w:t xml:space="preserve"> the investigative file reflects that UNMIK became aware of</w:t>
      </w:r>
      <w:r w:rsidRPr="00D63DA4">
        <w:rPr>
          <w:bCs/>
          <w:lang w:val="en-GB"/>
        </w:rPr>
        <w:t xml:space="preserve"> Mr Momir </w:t>
      </w:r>
      <w:r w:rsidRPr="00D63DA4">
        <w:t>Milenković</w:t>
      </w:r>
      <w:r w:rsidRPr="00D63DA4">
        <w:rPr>
          <w:lang w:val="en-GB"/>
        </w:rPr>
        <w:t>’s abduction</w:t>
      </w:r>
      <w:r w:rsidR="00D04174" w:rsidRPr="00D63DA4">
        <w:rPr>
          <w:lang w:val="en-GB"/>
        </w:rPr>
        <w:t xml:space="preserve"> and disappearance</w:t>
      </w:r>
      <w:r w:rsidRPr="00D63DA4">
        <w:rPr>
          <w:lang w:val="en-GB"/>
        </w:rPr>
        <w:t xml:space="preserve"> no later than 31 December 1999, when the MPU must have completed an Ante-Mortem Victim Identification Form for him (see § </w:t>
      </w:r>
      <w:r w:rsidRPr="00D63DA4">
        <w:rPr>
          <w:lang w:val="en-GB"/>
        </w:rPr>
        <w:fldChar w:fldCharType="begin"/>
      </w:r>
      <w:r w:rsidRPr="00D63DA4">
        <w:rPr>
          <w:lang w:val="en-GB"/>
        </w:rPr>
        <w:instrText xml:space="preserve"> REF _Ref397946944 \r \h  \* MERGEFORMAT </w:instrText>
      </w:r>
      <w:r w:rsidRPr="00D63DA4">
        <w:rPr>
          <w:lang w:val="en-GB"/>
        </w:rPr>
      </w:r>
      <w:r w:rsidRPr="00D63DA4">
        <w:rPr>
          <w:lang w:val="en-GB"/>
        </w:rPr>
        <w:fldChar w:fldCharType="separate"/>
      </w:r>
      <w:r w:rsidR="00D90199">
        <w:rPr>
          <w:lang w:val="en-GB"/>
        </w:rPr>
        <w:t>25</w:t>
      </w:r>
      <w:r w:rsidRPr="00D63DA4">
        <w:rPr>
          <w:lang w:val="en-GB"/>
        </w:rPr>
        <w:fldChar w:fldCharType="end"/>
      </w:r>
      <w:r w:rsidRPr="00D63DA4">
        <w:rPr>
          <w:lang w:val="en-GB"/>
        </w:rPr>
        <w:t xml:space="preserve"> above). This Form, besides containing </w:t>
      </w:r>
      <w:r w:rsidRPr="00D63DA4">
        <w:t>Mr Momir Milenković</w:t>
      </w:r>
      <w:r w:rsidRPr="00D63DA4">
        <w:rPr>
          <w:lang w:val="en-GB"/>
        </w:rPr>
        <w:t xml:space="preserve">’s personal details and ante-mortem description, provides the name, address and telephone number of his mother, Mrs J.M. and his brother, Mr Z.M. The Panel notes that </w:t>
      </w:r>
      <w:r w:rsidRPr="00D63DA4">
        <w:t>n</w:t>
      </w:r>
      <w:r w:rsidRPr="00D63DA4">
        <w:rPr>
          <w:lang w:val="en-GB"/>
        </w:rPr>
        <w:t xml:space="preserve">o immediate action was taken by UNMIK, except for probably making an initial assessment of the information and registering the case. </w:t>
      </w:r>
    </w:p>
    <w:p w:rsidR="00D04174" w:rsidRPr="00D63DA4" w:rsidRDefault="00D04174" w:rsidP="00D04174">
      <w:pPr>
        <w:pStyle w:val="ListParagraph"/>
      </w:pPr>
    </w:p>
    <w:p w:rsidR="00D04174" w:rsidRPr="00D63DA4" w:rsidRDefault="00D04174" w:rsidP="00BF3546">
      <w:pPr>
        <w:numPr>
          <w:ilvl w:val="0"/>
          <w:numId w:val="2"/>
        </w:numPr>
        <w:tabs>
          <w:tab w:val="left" w:pos="709"/>
        </w:tabs>
        <w:suppressAutoHyphens/>
        <w:autoSpaceDE w:val="0"/>
        <w:jc w:val="both"/>
      </w:pPr>
      <w:r w:rsidRPr="00D63DA4">
        <w:rPr>
          <w:bCs/>
          <w:lang w:val="en-GB"/>
        </w:rPr>
        <w:t>The Panel also notes that the investigative file</w:t>
      </w:r>
      <w:r w:rsidR="005949E2" w:rsidRPr="00D63DA4">
        <w:rPr>
          <w:bCs/>
          <w:lang w:val="en-GB"/>
        </w:rPr>
        <w:t xml:space="preserve"> received by UNMIK</w:t>
      </w:r>
      <w:r w:rsidRPr="00D63DA4">
        <w:rPr>
          <w:bCs/>
          <w:lang w:val="en-GB"/>
        </w:rPr>
        <w:t xml:space="preserve"> from </w:t>
      </w:r>
      <w:r w:rsidR="002D73EB" w:rsidRPr="00D63DA4">
        <w:rPr>
          <w:bCs/>
          <w:lang w:val="en-GB"/>
        </w:rPr>
        <w:t xml:space="preserve">the </w:t>
      </w:r>
      <w:r w:rsidRPr="00D63DA4">
        <w:rPr>
          <w:bCs/>
          <w:lang w:val="en-GB"/>
        </w:rPr>
        <w:t xml:space="preserve">EULEX WCIU contained a number of documents relating to a British KFOR investigation into the death of a “Mr Momie </w:t>
      </w:r>
      <w:r w:rsidRPr="00D63DA4">
        <w:t>Milenković” who was killed on the same day, 23 June 1999, and in the proximate vicinity of Mr Momir Milenković’s abduction</w:t>
      </w:r>
      <w:r w:rsidRPr="00D63DA4">
        <w:rPr>
          <w:lang w:val="en-GB"/>
        </w:rPr>
        <w:t xml:space="preserve"> and disappearance (see § </w:t>
      </w:r>
      <w:r w:rsidRPr="00D63DA4">
        <w:rPr>
          <w:lang w:val="en-GB"/>
        </w:rPr>
        <w:fldChar w:fldCharType="begin"/>
      </w:r>
      <w:r w:rsidRPr="00D63DA4">
        <w:rPr>
          <w:lang w:val="en-GB"/>
        </w:rPr>
        <w:instrText xml:space="preserve"> REF _Ref398305787 \r \h </w:instrText>
      </w:r>
      <w:r w:rsidR="00D63DA4" w:rsidRPr="00D63DA4">
        <w:rPr>
          <w:lang w:val="en-GB"/>
        </w:rPr>
        <w:instrText xml:space="preserve"> \* MERGEFORMAT </w:instrText>
      </w:r>
      <w:r w:rsidRPr="00D63DA4">
        <w:rPr>
          <w:lang w:val="en-GB"/>
        </w:rPr>
      </w:r>
      <w:r w:rsidRPr="00D63DA4">
        <w:rPr>
          <w:lang w:val="en-GB"/>
        </w:rPr>
        <w:fldChar w:fldCharType="separate"/>
      </w:r>
      <w:r w:rsidR="00D90199">
        <w:rPr>
          <w:lang w:val="en-GB"/>
        </w:rPr>
        <w:t>31</w:t>
      </w:r>
      <w:r w:rsidRPr="00D63DA4">
        <w:rPr>
          <w:lang w:val="en-GB"/>
        </w:rPr>
        <w:fldChar w:fldCharType="end"/>
      </w:r>
      <w:r w:rsidRPr="00D63DA4">
        <w:rPr>
          <w:lang w:val="en-GB"/>
        </w:rPr>
        <w:t xml:space="preserve"> above)</w:t>
      </w:r>
      <w:r w:rsidRPr="00D63DA4">
        <w:t xml:space="preserve">. According to the British KFOR and EULEX WCIU documents provided in the file, it </w:t>
      </w:r>
      <w:r w:rsidRPr="00D63DA4">
        <w:lastRenderedPageBreak/>
        <w:t>appears that the mortal remains of “</w:t>
      </w:r>
      <w:r w:rsidRPr="00D63DA4">
        <w:rPr>
          <w:bCs/>
          <w:lang w:val="en-GB"/>
        </w:rPr>
        <w:t xml:space="preserve">Mr Momie </w:t>
      </w:r>
      <w:r w:rsidRPr="00D63DA4">
        <w:t>Milenković” went missing sometime after 23 June 1999 when they were “conveyed to the mortuary, the University Hospital in Pristina, pending the possibility of a post mortem examination”. The SRSG argues that it is unlikely that the crime described in the KFOR files refers to the same Mr Momir Milenković as described by the complainant. Conceding this, the Panel notes that the EULEX WCIU file shows that EULEX officers made efforts to locate the documentation from the Pris</w:t>
      </w:r>
      <w:r w:rsidR="00657509">
        <w:t>h</w:t>
      </w:r>
      <w:r w:rsidRPr="00D63DA4">
        <w:t>tin</w:t>
      </w:r>
      <w:r w:rsidR="00657509">
        <w:t xml:space="preserve">ë/Priština </w:t>
      </w:r>
      <w:r w:rsidRPr="00D63DA4">
        <w:t xml:space="preserve">mortuary as a possible lead to be followed (see § </w:t>
      </w:r>
      <w:r w:rsidRPr="00D63DA4">
        <w:fldChar w:fldCharType="begin"/>
      </w:r>
      <w:r w:rsidRPr="00D63DA4">
        <w:instrText xml:space="preserve"> REF _Ref398306547 \r \h </w:instrText>
      </w:r>
      <w:r w:rsidR="00D63DA4" w:rsidRPr="00D63DA4">
        <w:instrText xml:space="preserve"> \* MERGEFORMAT </w:instrText>
      </w:r>
      <w:r w:rsidRPr="00D63DA4">
        <w:fldChar w:fldCharType="separate"/>
      </w:r>
      <w:r w:rsidR="00D90199">
        <w:t>32</w:t>
      </w:r>
      <w:r w:rsidRPr="00D63DA4">
        <w:fldChar w:fldCharType="end"/>
      </w:r>
      <w:r w:rsidRPr="00D63DA4">
        <w:t xml:space="preserve"> above). There is no evidence in the file that UNMIK Police made such efforts or</w:t>
      </w:r>
      <w:r w:rsidR="005949E2" w:rsidRPr="00D63DA4">
        <w:t xml:space="preserve"> ever</w:t>
      </w:r>
      <w:r w:rsidRPr="00D63DA4">
        <w:t xml:space="preserve"> made</w:t>
      </w:r>
      <w:r w:rsidR="005949E2" w:rsidRPr="00D63DA4">
        <w:t xml:space="preserve"> </w:t>
      </w:r>
      <w:r w:rsidR="002D73EB" w:rsidRPr="00D63DA4">
        <w:t xml:space="preserve">any </w:t>
      </w:r>
      <w:r w:rsidRPr="00D63DA4">
        <w:t>efforts to liaise with KFOR in order to receive information about killings and the placement of mortal remains that occurred during the period prior to 19 September 1999</w:t>
      </w:r>
      <w:r w:rsidR="002D73EB" w:rsidRPr="00D63DA4">
        <w:t>,</w:t>
      </w:r>
      <w:r w:rsidRPr="00D63DA4">
        <w:t xml:space="preserve"> when KFOR was exercising law enforcement functions in the Prishtinë/Priština region (see § </w:t>
      </w:r>
      <w:r w:rsidRPr="00D63DA4">
        <w:fldChar w:fldCharType="begin"/>
      </w:r>
      <w:r w:rsidRPr="00D63DA4">
        <w:instrText xml:space="preserve"> REF _Ref379796585 \r \h  \* MERGEFORMAT </w:instrText>
      </w:r>
      <w:r w:rsidRPr="00D63DA4">
        <w:fldChar w:fldCharType="separate"/>
      </w:r>
      <w:r w:rsidR="00D90199">
        <w:t>87</w:t>
      </w:r>
      <w:r w:rsidRPr="00D63DA4">
        <w:fldChar w:fldCharType="end"/>
      </w:r>
      <w:r w:rsidRPr="00D63DA4">
        <w:t xml:space="preserve"> above).</w:t>
      </w:r>
    </w:p>
    <w:p w:rsidR="00BF3546" w:rsidRPr="00D63DA4" w:rsidRDefault="00BF3546" w:rsidP="00BF3546">
      <w:pPr>
        <w:tabs>
          <w:tab w:val="left" w:pos="709"/>
        </w:tabs>
        <w:suppressAutoHyphens/>
        <w:autoSpaceDE w:val="0"/>
        <w:jc w:val="both"/>
      </w:pPr>
    </w:p>
    <w:p w:rsidR="00BF3546" w:rsidRPr="00D63DA4" w:rsidRDefault="00BF3546" w:rsidP="00BF3546">
      <w:pPr>
        <w:numPr>
          <w:ilvl w:val="0"/>
          <w:numId w:val="2"/>
        </w:numPr>
        <w:tabs>
          <w:tab w:val="left" w:pos="709"/>
        </w:tabs>
        <w:suppressAutoHyphens/>
        <w:autoSpaceDE w:val="0"/>
        <w:jc w:val="both"/>
        <w:rPr>
          <w:lang w:val="en-GB"/>
        </w:rPr>
      </w:pPr>
      <w:r w:rsidRPr="00D63DA4">
        <w:t>The Panel notes that UNMIK Police carried out some investigative activities regarding the case on 28 J</w:t>
      </w:r>
      <w:r w:rsidR="00D04174" w:rsidRPr="00D63DA4">
        <w:t>une 2000,</w:t>
      </w:r>
      <w:r w:rsidRPr="00D63DA4">
        <w:t xml:space="preserve"> 3 April 2002 and 10 June 2002, according to the “</w:t>
      </w:r>
      <w:r w:rsidRPr="00D63DA4">
        <w:rPr>
          <w:bCs/>
        </w:rPr>
        <w:t xml:space="preserve">Missing Person Unit-Case Continuation Report” (see § </w:t>
      </w:r>
      <w:r w:rsidRPr="00D63DA4">
        <w:rPr>
          <w:bCs/>
        </w:rPr>
        <w:fldChar w:fldCharType="begin"/>
      </w:r>
      <w:r w:rsidRPr="00D63DA4">
        <w:rPr>
          <w:bCs/>
        </w:rPr>
        <w:instrText xml:space="preserve"> REF _Ref398123286 \r \h  \* MERGEFORMAT </w:instrText>
      </w:r>
      <w:r w:rsidRPr="00D63DA4">
        <w:rPr>
          <w:bCs/>
        </w:rPr>
      </w:r>
      <w:r w:rsidRPr="00D63DA4">
        <w:rPr>
          <w:bCs/>
        </w:rPr>
        <w:fldChar w:fldCharType="separate"/>
      </w:r>
      <w:r w:rsidR="00D90199">
        <w:rPr>
          <w:bCs/>
        </w:rPr>
        <w:t>26</w:t>
      </w:r>
      <w:r w:rsidRPr="00D63DA4">
        <w:rPr>
          <w:bCs/>
        </w:rPr>
        <w:fldChar w:fldCharType="end"/>
      </w:r>
      <w:r w:rsidRPr="00D63DA4">
        <w:rPr>
          <w:bCs/>
        </w:rPr>
        <w:t xml:space="preserve"> above). However, the Panel notes that there is no record in the file of what specific actions were undertaken, and there is no evidence presented that any new information was discovered. The MPU file also shows that in April 2004, UNMIK Police contacted </w:t>
      </w:r>
      <w:r w:rsidRPr="00D63DA4">
        <w:rPr>
          <w:bCs/>
          <w:lang w:val="en-GB"/>
        </w:rPr>
        <w:t xml:space="preserve">Mr Momir </w:t>
      </w:r>
      <w:r w:rsidRPr="00D63DA4">
        <w:t xml:space="preserve">Milenković’s brother in an effort to uncover new leads, but the conversation did not reveal any further information (see § </w:t>
      </w:r>
      <w:r w:rsidRPr="00D63DA4">
        <w:fldChar w:fldCharType="begin"/>
      </w:r>
      <w:r w:rsidRPr="00D63DA4">
        <w:instrText xml:space="preserve"> REF _Ref398123580 \r \h  \* MERGEFORMAT </w:instrText>
      </w:r>
      <w:r w:rsidRPr="00D63DA4">
        <w:fldChar w:fldCharType="separate"/>
      </w:r>
      <w:r w:rsidR="00D90199">
        <w:t>53</w:t>
      </w:r>
      <w:r w:rsidRPr="00D63DA4">
        <w:fldChar w:fldCharType="end"/>
      </w:r>
      <w:r w:rsidRPr="00D63DA4">
        <w:t xml:space="preserve"> above).  </w:t>
      </w:r>
    </w:p>
    <w:p w:rsidR="00BF3546" w:rsidRPr="00D63DA4" w:rsidRDefault="00BF3546" w:rsidP="00BF3546">
      <w:pPr>
        <w:tabs>
          <w:tab w:val="left" w:pos="709"/>
        </w:tabs>
        <w:suppressAutoHyphens/>
        <w:autoSpaceDE w:val="0"/>
        <w:jc w:val="both"/>
        <w:rPr>
          <w:bCs/>
          <w:lang w:val="en-GB"/>
        </w:rPr>
      </w:pPr>
    </w:p>
    <w:p w:rsidR="00BF3546" w:rsidRPr="00D63DA4" w:rsidRDefault="00BF3546" w:rsidP="00BF3546">
      <w:pPr>
        <w:pStyle w:val="ListParagraph"/>
        <w:widowControl w:val="0"/>
        <w:numPr>
          <w:ilvl w:val="0"/>
          <w:numId w:val="2"/>
        </w:numPr>
        <w:tabs>
          <w:tab w:val="left" w:pos="360"/>
          <w:tab w:val="num" w:pos="630"/>
          <w:tab w:val="left" w:pos="1080"/>
        </w:tabs>
        <w:jc w:val="both"/>
        <w:rPr>
          <w:bCs/>
          <w:lang w:val="en-GB"/>
        </w:rPr>
      </w:pPr>
      <w:bookmarkStart w:id="77" w:name="_Ref395174344"/>
      <w:r w:rsidRPr="00D63DA4">
        <w:rPr>
          <w:bCs/>
          <w:lang w:val="en-GB"/>
        </w:rPr>
        <w:t xml:space="preserve">The Panel notes that as of 31 December 1999, at the latest, UNMIK Police possessed a considerable amount of </w:t>
      </w:r>
      <w:r w:rsidRPr="00D63DA4">
        <w:rPr>
          <w:bCs/>
          <w:color w:val="000000" w:themeColor="text1"/>
          <w:lang w:val="en-GB"/>
        </w:rPr>
        <w:t>information, including the details of his abduction</w:t>
      </w:r>
      <w:r w:rsidR="00D04174" w:rsidRPr="00D63DA4">
        <w:rPr>
          <w:lang w:val="en-GB"/>
        </w:rPr>
        <w:t xml:space="preserve"> and disappearance</w:t>
      </w:r>
      <w:r w:rsidRPr="00D63DA4">
        <w:rPr>
          <w:bCs/>
          <w:color w:val="000000" w:themeColor="text1"/>
          <w:lang w:val="en-GB"/>
        </w:rPr>
        <w:t xml:space="preserve"> and the </w:t>
      </w:r>
      <w:r w:rsidRPr="00D63DA4">
        <w:rPr>
          <w:lang w:val="en-GB"/>
        </w:rPr>
        <w:t>name, address and telephone number of his mother, Mrs J.M. and his brother, Mr Z.M.</w:t>
      </w:r>
      <w:r w:rsidRPr="00D63DA4">
        <w:rPr>
          <w:bCs/>
          <w:color w:val="000000" w:themeColor="text1"/>
          <w:lang w:val="en-GB"/>
        </w:rPr>
        <w:t xml:space="preserve"> </w:t>
      </w:r>
      <w:r w:rsidRPr="00D63DA4">
        <w:rPr>
          <w:bCs/>
          <w:lang w:val="en-GB"/>
        </w:rPr>
        <w:t xml:space="preserve">There is no evidence in the file that UNMIK Police took a formal witness statement from the complainant, </w:t>
      </w:r>
      <w:r w:rsidR="002D73EB" w:rsidRPr="00D63DA4">
        <w:rPr>
          <w:bCs/>
          <w:lang w:val="en-GB"/>
        </w:rPr>
        <w:t>n</w:t>
      </w:r>
      <w:r w:rsidRPr="00D63DA4">
        <w:rPr>
          <w:bCs/>
          <w:lang w:val="en-GB"/>
        </w:rPr>
        <w:t xml:space="preserve">or from Mr Z.M. </w:t>
      </w:r>
      <w:r w:rsidR="002D73EB" w:rsidRPr="00D63DA4">
        <w:rPr>
          <w:bCs/>
          <w:lang w:val="en-GB"/>
        </w:rPr>
        <w:t xml:space="preserve">or </w:t>
      </w:r>
      <w:r w:rsidRPr="00D63DA4">
        <w:rPr>
          <w:lang w:val="en-GB"/>
        </w:rPr>
        <w:t>Mrs J.M., potential witnesses.</w:t>
      </w:r>
      <w:r w:rsidRPr="00D63DA4">
        <w:rPr>
          <w:bCs/>
          <w:lang w:val="en-GB"/>
        </w:rPr>
        <w:t xml:space="preserve"> </w:t>
      </w:r>
      <w:r w:rsidRPr="00D63DA4">
        <w:rPr>
          <w:lang w:val="en-GB"/>
        </w:rPr>
        <w:t xml:space="preserve">There is also no evidence in the file that any attempt was made to take a formal witness statement from the witness and probable suspect B.V., who apparently had been present when Mr Momir Milenković was abducted (see § </w:t>
      </w:r>
      <w:r w:rsidRPr="00D63DA4">
        <w:rPr>
          <w:lang w:val="en-GB"/>
        </w:rPr>
        <w:fldChar w:fldCharType="begin"/>
      </w:r>
      <w:r w:rsidRPr="00D63DA4">
        <w:rPr>
          <w:lang w:val="en-GB"/>
        </w:rPr>
        <w:instrText xml:space="preserve"> REF _Ref398125447 \r \h  \* MERGEFORMAT </w:instrText>
      </w:r>
      <w:r w:rsidRPr="00D63DA4">
        <w:rPr>
          <w:lang w:val="en-GB"/>
        </w:rPr>
      </w:r>
      <w:r w:rsidRPr="00D63DA4">
        <w:rPr>
          <w:lang w:val="en-GB"/>
        </w:rPr>
        <w:fldChar w:fldCharType="separate"/>
      </w:r>
      <w:r w:rsidR="00D90199">
        <w:rPr>
          <w:lang w:val="en-GB"/>
        </w:rPr>
        <w:t>20</w:t>
      </w:r>
      <w:r w:rsidRPr="00D63DA4">
        <w:rPr>
          <w:lang w:val="en-GB"/>
        </w:rPr>
        <w:fldChar w:fldCharType="end"/>
      </w:r>
      <w:r w:rsidRPr="00D63DA4">
        <w:rPr>
          <w:lang w:val="en-GB"/>
        </w:rPr>
        <w:t xml:space="preserve"> above). There is also no evidence in the file that any attempt was made to canvass the area around the Milenković family home </w:t>
      </w:r>
      <w:r w:rsidR="002D73EB" w:rsidRPr="00D63DA4">
        <w:rPr>
          <w:lang w:val="en-GB"/>
        </w:rPr>
        <w:t xml:space="preserve">from </w:t>
      </w:r>
      <w:r w:rsidRPr="00D63DA4">
        <w:rPr>
          <w:lang w:val="en-GB"/>
        </w:rPr>
        <w:t>where Mr Momir Milenković was</w:t>
      </w:r>
      <w:r w:rsidR="00D63DA4" w:rsidRPr="00D63DA4">
        <w:rPr>
          <w:lang w:val="en-GB"/>
        </w:rPr>
        <w:t xml:space="preserve"> allegedly</w:t>
      </w:r>
      <w:r w:rsidRPr="00D63DA4">
        <w:rPr>
          <w:lang w:val="en-GB"/>
        </w:rPr>
        <w:t xml:space="preserve"> abducted. These were</w:t>
      </w:r>
      <w:r w:rsidRPr="00D63DA4">
        <w:rPr>
          <w:bCs/>
          <w:lang w:val="en-GB"/>
        </w:rPr>
        <w:t xml:space="preserve"> obvious lines of enquiry for UNMIK Police to try to pursue.</w:t>
      </w:r>
      <w:bookmarkEnd w:id="77"/>
      <w:r w:rsidRPr="00D63DA4">
        <w:rPr>
          <w:bCs/>
          <w:lang w:val="en-GB"/>
        </w:rPr>
        <w:t xml:space="preserve"> </w:t>
      </w:r>
    </w:p>
    <w:p w:rsidR="00BF3546" w:rsidRPr="00D63DA4" w:rsidRDefault="00BF3546" w:rsidP="00BF3546">
      <w:pPr>
        <w:tabs>
          <w:tab w:val="left" w:pos="709"/>
        </w:tabs>
        <w:suppressAutoHyphens/>
        <w:autoSpaceDE w:val="0"/>
        <w:jc w:val="both"/>
        <w:rPr>
          <w:bCs/>
          <w:lang w:val="en-GB"/>
        </w:rPr>
      </w:pPr>
    </w:p>
    <w:p w:rsidR="00BF3546" w:rsidRPr="00D63DA4" w:rsidRDefault="00BF3546" w:rsidP="00BF3546">
      <w:pPr>
        <w:numPr>
          <w:ilvl w:val="0"/>
          <w:numId w:val="2"/>
        </w:numPr>
        <w:tabs>
          <w:tab w:val="left" w:pos="709"/>
        </w:tabs>
        <w:suppressAutoHyphens/>
        <w:autoSpaceDE w:val="0"/>
        <w:jc w:val="both"/>
        <w:rPr>
          <w:bCs/>
          <w:lang w:val="en-GB"/>
        </w:rPr>
      </w:pPr>
      <w:r w:rsidRPr="00D63DA4">
        <w:rPr>
          <w:bCs/>
          <w:lang w:val="en-GB"/>
        </w:rPr>
        <w:t xml:space="preserve">Therefore, with </w:t>
      </w:r>
      <w:r w:rsidRPr="00D63DA4">
        <w:t>respect</w:t>
      </w:r>
      <w:r w:rsidRPr="00D63DA4">
        <w:rPr>
          <w:bCs/>
          <w:lang w:val="en-GB"/>
        </w:rPr>
        <w:t xml:space="preserve"> to the SRSG’s argument that UNMIK opened and pursued an investigation to determine </w:t>
      </w:r>
      <w:r w:rsidRPr="00D63DA4">
        <w:rPr>
          <w:lang w:val="en-GB"/>
        </w:rPr>
        <w:t xml:space="preserve">Mr Momir Milenković’s whereabouts </w:t>
      </w:r>
      <w:r w:rsidRPr="00D63DA4">
        <w:rPr>
          <w:bCs/>
          <w:lang w:val="en-GB"/>
        </w:rPr>
        <w:t xml:space="preserve">(see § </w:t>
      </w:r>
      <w:r w:rsidRPr="00D63DA4">
        <w:fldChar w:fldCharType="begin"/>
      </w:r>
      <w:r w:rsidRPr="00D63DA4">
        <w:rPr>
          <w:bCs/>
          <w:lang w:val="en-GB"/>
        </w:rPr>
        <w:instrText xml:space="preserve"> REF _Ref397946236 \r \h </w:instrText>
      </w:r>
      <w:r w:rsidR="00D04174" w:rsidRPr="00D63DA4">
        <w:instrText xml:space="preserve"> \* MERGEFORMAT </w:instrText>
      </w:r>
      <w:r w:rsidRPr="00D63DA4">
        <w:fldChar w:fldCharType="separate"/>
      </w:r>
      <w:r w:rsidR="00D90199">
        <w:rPr>
          <w:bCs/>
          <w:lang w:val="en-GB"/>
        </w:rPr>
        <w:t>51</w:t>
      </w:r>
      <w:r w:rsidRPr="00D63DA4">
        <w:fldChar w:fldCharType="end"/>
      </w:r>
      <w:r w:rsidR="00D04174" w:rsidRPr="00D63DA4">
        <w:rPr>
          <w:bCs/>
          <w:lang w:val="en-GB"/>
        </w:rPr>
        <w:t xml:space="preserve"> above), </w:t>
      </w:r>
      <w:r w:rsidR="00D04174" w:rsidRPr="00D63DA4">
        <w:rPr>
          <w:lang w:val="en-GB"/>
        </w:rPr>
        <w:t xml:space="preserve"> the Panel finds that, although UNMIK Police made some effort to locate </w:t>
      </w:r>
      <w:r w:rsidR="00D04174" w:rsidRPr="00D63DA4">
        <w:rPr>
          <w:bCs/>
          <w:lang w:val="en-GB"/>
        </w:rPr>
        <w:t xml:space="preserve">Mr Momir </w:t>
      </w:r>
      <w:r w:rsidR="00D04174" w:rsidRPr="00D63DA4">
        <w:t>Milenković</w:t>
      </w:r>
      <w:r w:rsidR="00D04174" w:rsidRPr="00D63DA4">
        <w:rPr>
          <w:lang w:val="en-GB"/>
        </w:rPr>
        <w:t xml:space="preserve">’s mortal remains, this effort does not fulfil </w:t>
      </w:r>
      <w:r w:rsidR="00D04174" w:rsidRPr="00D63DA4">
        <w:t>UNMIK’s obligations under Article 2 of the ECHR.</w:t>
      </w:r>
    </w:p>
    <w:p w:rsidR="00BF3546" w:rsidRPr="00D63DA4" w:rsidRDefault="00BF3546" w:rsidP="00BF3546">
      <w:pPr>
        <w:tabs>
          <w:tab w:val="left" w:pos="709"/>
        </w:tabs>
        <w:suppressAutoHyphens/>
        <w:autoSpaceDE w:val="0"/>
        <w:ind w:left="360"/>
        <w:jc w:val="both"/>
        <w:rPr>
          <w:lang w:val="en-GB"/>
        </w:rPr>
      </w:pPr>
    </w:p>
    <w:p w:rsidR="003E3F85" w:rsidRPr="00D63DA4" w:rsidRDefault="003E3F85" w:rsidP="003E3F85">
      <w:pPr>
        <w:numPr>
          <w:ilvl w:val="0"/>
          <w:numId w:val="2"/>
        </w:numPr>
        <w:tabs>
          <w:tab w:val="left" w:pos="709"/>
        </w:tabs>
        <w:suppressAutoHyphens/>
        <w:autoSpaceDE w:val="0"/>
        <w:jc w:val="both"/>
      </w:pPr>
      <w:r w:rsidRPr="00D63DA4">
        <w:rPr>
          <w:lang w:val="en-GB"/>
        </w:rPr>
        <w:t>Now the Panel will turn to the investigation carried out by UNMIK Police with the aim of identifying the perpetrator(s) and bringing them to justice, that is, the second element of the procedural obligation under Article 2 of the ECHR.</w:t>
      </w:r>
    </w:p>
    <w:p w:rsidR="003E3F85" w:rsidRPr="00D63DA4" w:rsidRDefault="003E3F85" w:rsidP="003E3F85">
      <w:pPr>
        <w:autoSpaceDE w:val="0"/>
        <w:contextualSpacing/>
        <w:jc w:val="both"/>
        <w:rPr>
          <w:lang w:val="en-GB"/>
        </w:rPr>
      </w:pPr>
    </w:p>
    <w:p w:rsidR="003E3F85" w:rsidRPr="00D63DA4" w:rsidRDefault="003E3F85" w:rsidP="003E3F85">
      <w:pPr>
        <w:numPr>
          <w:ilvl w:val="0"/>
          <w:numId w:val="2"/>
        </w:numPr>
        <w:tabs>
          <w:tab w:val="left" w:pos="709"/>
        </w:tabs>
        <w:suppressAutoHyphens/>
        <w:autoSpaceDE w:val="0"/>
        <w:jc w:val="both"/>
        <w:rPr>
          <w:bCs/>
          <w:i/>
          <w:lang w:val="en-GB"/>
        </w:rPr>
      </w:pPr>
      <w:r w:rsidRPr="00D63DA4">
        <w:rPr>
          <w:lang w:val="en-GB"/>
        </w:rPr>
        <w:t xml:space="preserve">The Panel </w:t>
      </w:r>
      <w:r w:rsidRPr="00D63DA4">
        <w:rPr>
          <w:bCs/>
          <w:lang w:val="en-GB"/>
        </w:rPr>
        <w:t>is mindfu</w:t>
      </w:r>
      <w:r w:rsidR="00BF3546" w:rsidRPr="00D63DA4">
        <w:rPr>
          <w:bCs/>
          <w:lang w:val="en-GB"/>
        </w:rPr>
        <w:t>l that in any investigation of an abduction</w:t>
      </w:r>
      <w:r w:rsidR="00D04174" w:rsidRPr="00D63DA4">
        <w:rPr>
          <w:lang w:val="en-GB"/>
        </w:rPr>
        <w:t xml:space="preserve"> and disappearance</w:t>
      </w:r>
      <w:r w:rsidRPr="00D63DA4">
        <w:rPr>
          <w:bCs/>
          <w:lang w:val="en-GB"/>
        </w:rPr>
        <w:t xml:space="preserve">, the initial stage is of the utmost importance, and it serves two </w:t>
      </w:r>
      <w:r w:rsidRPr="00D63DA4">
        <w:t>main</w:t>
      </w:r>
      <w:r w:rsidRPr="00D63DA4">
        <w:rPr>
          <w:bCs/>
          <w:lang w:val="en-GB"/>
        </w:rPr>
        <w:t xml:space="preserve"> purposes: to </w:t>
      </w:r>
      <w:r w:rsidRPr="00D63DA4">
        <w:rPr>
          <w:lang w:val="en-GB"/>
        </w:rPr>
        <w:t xml:space="preserve">identify the direction of the investigation and ensure preservation and collection of evidence for future possible court proceedings (see the Panel’s position on a similar matter expressed in the case </w:t>
      </w:r>
      <w:r w:rsidRPr="00D63DA4">
        <w:rPr>
          <w:i/>
          <w:lang w:val="en-GB"/>
        </w:rPr>
        <w:t>X</w:t>
      </w:r>
      <w:r w:rsidRPr="00D63DA4">
        <w:rPr>
          <w:lang w:val="en-GB"/>
        </w:rPr>
        <w:t>., nos. 326/09 and others, opinion of 6 June 2013, § 81).</w:t>
      </w:r>
    </w:p>
    <w:p w:rsidR="006B7095" w:rsidRPr="00D63DA4" w:rsidRDefault="006B7095" w:rsidP="006B7095">
      <w:pPr>
        <w:tabs>
          <w:tab w:val="left" w:pos="709"/>
        </w:tabs>
        <w:suppressAutoHyphens/>
        <w:autoSpaceDE w:val="0"/>
        <w:jc w:val="both"/>
        <w:rPr>
          <w:bCs/>
          <w:lang w:val="en-GB"/>
        </w:rPr>
      </w:pPr>
    </w:p>
    <w:p w:rsidR="003E3F85" w:rsidRPr="00D63DA4" w:rsidRDefault="003E3F85" w:rsidP="006B7095">
      <w:pPr>
        <w:numPr>
          <w:ilvl w:val="0"/>
          <w:numId w:val="2"/>
        </w:numPr>
        <w:tabs>
          <w:tab w:val="left" w:pos="709"/>
        </w:tabs>
        <w:suppressAutoHyphens/>
        <w:autoSpaceDE w:val="0"/>
        <w:jc w:val="both"/>
        <w:rPr>
          <w:bCs/>
          <w:lang w:val="en-GB"/>
        </w:rPr>
      </w:pPr>
      <w:r w:rsidRPr="00D63DA4">
        <w:rPr>
          <w:bCs/>
          <w:lang w:val="en-GB"/>
        </w:rPr>
        <w:t xml:space="preserve">The </w:t>
      </w:r>
      <w:r w:rsidRPr="00D63DA4">
        <w:rPr>
          <w:lang w:val="en-GB"/>
        </w:rPr>
        <w:t>Panel</w:t>
      </w:r>
      <w:r w:rsidRPr="00D63DA4">
        <w:rPr>
          <w:bCs/>
          <w:lang w:val="en-GB"/>
        </w:rPr>
        <w:t xml:space="preserve"> likewise recalls the SRSG’s argument that “</w:t>
      </w:r>
      <w:r w:rsidR="006B7095" w:rsidRPr="00D63DA4">
        <w:t xml:space="preserve">without witnesses coming forward or physical evidence being discovered, as in the present case, police investigations inevitably stall because of a lack of evidence” </w:t>
      </w:r>
      <w:r w:rsidRPr="00D63DA4">
        <w:rPr>
          <w:bCs/>
          <w:lang w:val="en-GB"/>
        </w:rPr>
        <w:t xml:space="preserve">(see § </w:t>
      </w:r>
      <w:r w:rsidR="002948A6" w:rsidRPr="00D63DA4">
        <w:fldChar w:fldCharType="begin"/>
      </w:r>
      <w:r w:rsidR="002948A6" w:rsidRPr="00D63DA4">
        <w:rPr>
          <w:bCs/>
          <w:lang w:val="en-GB"/>
        </w:rPr>
        <w:instrText xml:space="preserve"> REF _Ref397951665 \r \h </w:instrText>
      </w:r>
      <w:r w:rsidR="00D63DA4" w:rsidRPr="00D63DA4">
        <w:instrText xml:space="preserve"> \* MERGEFORMAT </w:instrText>
      </w:r>
      <w:r w:rsidR="002948A6" w:rsidRPr="00D63DA4">
        <w:fldChar w:fldCharType="separate"/>
      </w:r>
      <w:r w:rsidR="00D90199">
        <w:rPr>
          <w:bCs/>
          <w:lang w:val="en-GB"/>
        </w:rPr>
        <w:t>54</w:t>
      </w:r>
      <w:r w:rsidR="002948A6" w:rsidRPr="00D63DA4">
        <w:fldChar w:fldCharType="end"/>
      </w:r>
      <w:r w:rsidRPr="00D63DA4">
        <w:rPr>
          <w:bCs/>
          <w:lang w:val="en-GB"/>
        </w:rPr>
        <w:t xml:space="preserve"> above). In this regard, the Panel must note that almost any investigation at its initial stage lacks a significant amount of information. Finding the necessary information to fill those gaps is the main goal of any investigative activity. Therefore, a lack of information should not be used as an argument to defend inaction by the investigative authorities. Thus, it appears that, instead of actively searching for information and leads, UNMIK Police simply waited for further information to appear by itself. In this situation it may have led to the loss of potential evidence (see e.g. HRAP, </w:t>
      </w:r>
      <w:r w:rsidRPr="00D63DA4">
        <w:rPr>
          <w:bCs/>
          <w:i/>
          <w:lang w:val="en-GB"/>
        </w:rPr>
        <w:t>P.S</w:t>
      </w:r>
      <w:r w:rsidRPr="00D63DA4">
        <w:rPr>
          <w:bCs/>
          <w:lang w:val="en-GB"/>
        </w:rPr>
        <w:t>., no. 48/09, opinion of 31 October 2013, § 107).</w:t>
      </w:r>
    </w:p>
    <w:p w:rsidR="003E3F85" w:rsidRPr="00D63DA4" w:rsidRDefault="003E3F85" w:rsidP="00BF3546">
      <w:pPr>
        <w:tabs>
          <w:tab w:val="left" w:pos="709"/>
        </w:tabs>
        <w:suppressAutoHyphens/>
        <w:autoSpaceDE w:val="0"/>
        <w:jc w:val="both"/>
        <w:rPr>
          <w:bCs/>
          <w:lang w:val="en-GB"/>
        </w:rPr>
      </w:pPr>
    </w:p>
    <w:p w:rsidR="002948A6" w:rsidRPr="00D63DA4" w:rsidRDefault="003E3F85" w:rsidP="002948A6">
      <w:pPr>
        <w:numPr>
          <w:ilvl w:val="0"/>
          <w:numId w:val="2"/>
        </w:numPr>
        <w:tabs>
          <w:tab w:val="left" w:pos="709"/>
        </w:tabs>
        <w:suppressAutoHyphens/>
        <w:autoSpaceDE w:val="0"/>
        <w:jc w:val="both"/>
        <w:rPr>
          <w:lang w:val="en-GB"/>
        </w:rPr>
      </w:pPr>
      <w:r w:rsidRPr="00D63DA4">
        <w:rPr>
          <w:lang w:val="en-GB"/>
        </w:rPr>
        <w:t>In the Panel’s view, it is because of the lack of information at the initial</w:t>
      </w:r>
      <w:r w:rsidR="00BF3546" w:rsidRPr="00D63DA4">
        <w:rPr>
          <w:lang w:val="en-GB"/>
        </w:rPr>
        <w:t xml:space="preserve"> stage that this case was listed as “low priority” </w:t>
      </w:r>
      <w:r w:rsidRPr="00D63DA4">
        <w:rPr>
          <w:lang w:val="en-GB"/>
        </w:rPr>
        <w:t>without any</w:t>
      </w:r>
      <w:r w:rsidR="002948A6" w:rsidRPr="00D63DA4">
        <w:rPr>
          <w:lang w:val="en-GB"/>
        </w:rPr>
        <w:t xml:space="preserve"> further</w:t>
      </w:r>
      <w:r w:rsidRPr="00D63DA4">
        <w:rPr>
          <w:lang w:val="en-GB"/>
        </w:rPr>
        <w:t xml:space="preserve"> investigative action by the </w:t>
      </w:r>
      <w:r w:rsidR="00BF3546" w:rsidRPr="00D63DA4">
        <w:rPr>
          <w:lang w:val="en-GB"/>
        </w:rPr>
        <w:t xml:space="preserve">WCIU (see § </w:t>
      </w:r>
      <w:r w:rsidR="00BF3546" w:rsidRPr="00D63DA4">
        <w:rPr>
          <w:lang w:val="en-GB"/>
        </w:rPr>
        <w:fldChar w:fldCharType="begin"/>
      </w:r>
      <w:r w:rsidR="00BF3546" w:rsidRPr="00D63DA4">
        <w:rPr>
          <w:lang w:val="en-GB"/>
        </w:rPr>
        <w:instrText xml:space="preserve"> REF _Ref398131823 \r \h  \* MERGEFORMAT </w:instrText>
      </w:r>
      <w:r w:rsidR="00BF3546" w:rsidRPr="00D63DA4">
        <w:rPr>
          <w:lang w:val="en-GB"/>
        </w:rPr>
      </w:r>
      <w:r w:rsidR="00BF3546" w:rsidRPr="00D63DA4">
        <w:rPr>
          <w:lang w:val="en-GB"/>
        </w:rPr>
        <w:fldChar w:fldCharType="separate"/>
      </w:r>
      <w:r w:rsidR="00D90199">
        <w:rPr>
          <w:lang w:val="en-GB"/>
        </w:rPr>
        <w:t>29</w:t>
      </w:r>
      <w:r w:rsidR="00BF3546" w:rsidRPr="00D63DA4">
        <w:rPr>
          <w:lang w:val="en-GB"/>
        </w:rPr>
        <w:fldChar w:fldCharType="end"/>
      </w:r>
      <w:r w:rsidR="00BF3546" w:rsidRPr="00D63DA4">
        <w:rPr>
          <w:lang w:val="en-GB"/>
        </w:rPr>
        <w:t xml:space="preserve"> above)</w:t>
      </w:r>
      <w:r w:rsidRPr="00D63DA4">
        <w:rPr>
          <w:lang w:val="en-GB"/>
        </w:rPr>
        <w:t xml:space="preserve">. The Panel recalls in this regard its position in relation </w:t>
      </w:r>
      <w:r w:rsidRPr="00D63DA4">
        <w:t>to</w:t>
      </w:r>
      <w:r w:rsidRPr="00D63DA4">
        <w:rPr>
          <w:lang w:val="en-GB"/>
        </w:rPr>
        <w:t xml:space="preserve"> the categorisation of cases into “active” and “inactive”, that any </w:t>
      </w:r>
      <w:r w:rsidRPr="00D63DA4">
        <w:rPr>
          <w:bCs/>
          <w:lang w:val="en-GB"/>
        </w:rPr>
        <w:t xml:space="preserve">“categorisation of an investigation should take place only after the </w:t>
      </w:r>
      <w:r w:rsidRPr="00D63DA4">
        <w:rPr>
          <w:lang w:val="en-GB"/>
        </w:rPr>
        <w:t>minimum</w:t>
      </w:r>
      <w:r w:rsidRPr="00D63DA4">
        <w:rPr>
          <w:bCs/>
          <w:lang w:val="en-GB"/>
        </w:rPr>
        <w:t xml:space="preserve"> </w:t>
      </w:r>
      <w:r w:rsidRPr="00D63DA4">
        <w:t>possible</w:t>
      </w:r>
      <w:r w:rsidRPr="00D63DA4">
        <w:rPr>
          <w:bCs/>
          <w:lang w:val="en-GB"/>
        </w:rPr>
        <w:t xml:space="preserve"> investigative actions have been undertaken and obtainable information has been collected and analysed” </w:t>
      </w:r>
      <w:r w:rsidRPr="00D63DA4">
        <w:rPr>
          <w:lang w:val="en-GB"/>
        </w:rPr>
        <w:t xml:space="preserve">(see e.g. HRAP, </w:t>
      </w:r>
      <w:r w:rsidRPr="00D63DA4">
        <w:rPr>
          <w:i/>
          <w:lang w:val="en-GB"/>
        </w:rPr>
        <w:t>B.A</w:t>
      </w:r>
      <w:r w:rsidRPr="00D63DA4">
        <w:rPr>
          <w:lang w:val="en-GB"/>
        </w:rPr>
        <w:t>., no. 52/09, opinion of 14 February 2013, § 82).</w:t>
      </w:r>
      <w:r w:rsidRPr="00D63DA4">
        <w:rPr>
          <w:bCs/>
          <w:lang w:val="en-GB"/>
        </w:rPr>
        <w:t xml:space="preserve"> </w:t>
      </w:r>
    </w:p>
    <w:p w:rsidR="00BF3546" w:rsidRPr="00D63DA4" w:rsidRDefault="00BF3546" w:rsidP="00BF3546">
      <w:pPr>
        <w:tabs>
          <w:tab w:val="left" w:pos="709"/>
        </w:tabs>
        <w:suppressAutoHyphens/>
        <w:autoSpaceDE w:val="0"/>
        <w:jc w:val="both"/>
        <w:rPr>
          <w:lang w:val="en-GB"/>
        </w:rPr>
      </w:pPr>
    </w:p>
    <w:p w:rsidR="003E3F85" w:rsidRPr="00D63DA4" w:rsidRDefault="003E3F85" w:rsidP="003E3F85">
      <w:pPr>
        <w:numPr>
          <w:ilvl w:val="0"/>
          <w:numId w:val="2"/>
        </w:numPr>
        <w:tabs>
          <w:tab w:val="left" w:pos="709"/>
        </w:tabs>
        <w:suppressAutoHyphens/>
        <w:autoSpaceDE w:val="0"/>
        <w:jc w:val="both"/>
        <w:rPr>
          <w:lang w:val="en-GB"/>
        </w:rPr>
      </w:pPr>
      <w:r w:rsidRPr="00D63DA4">
        <w:rPr>
          <w:lang w:val="en-GB"/>
        </w:rPr>
        <w:t xml:space="preserve">Coming to the period within its jurisdiction, starting from 23 April 2005, the Panel notes that after that critical date the failure to conduct the necessary investigative actions, including those at the initial stage, persisted. Accordingly, inadequacies existing up until that date were not addressed. </w:t>
      </w:r>
      <w:r w:rsidRPr="00D63DA4">
        <w:rPr>
          <w:bCs/>
          <w:lang w:val="en-GB"/>
        </w:rPr>
        <w:t>Thus</w:t>
      </w:r>
      <w:r w:rsidRPr="00D63DA4">
        <w:rPr>
          <w:lang w:val="en-GB"/>
        </w:rPr>
        <w:t xml:space="preserve">, in accordance with the continuing obligation to investigate (see § </w:t>
      </w:r>
      <w:r w:rsidRPr="00D63DA4">
        <w:fldChar w:fldCharType="begin"/>
      </w:r>
      <w:r w:rsidRPr="00D63DA4">
        <w:instrText xml:space="preserve"> REF _Ref373950745 \r \h  \* MERGEFORMAT </w:instrText>
      </w:r>
      <w:r w:rsidRPr="00D63DA4">
        <w:fldChar w:fldCharType="separate"/>
      </w:r>
      <w:r w:rsidR="00D90199" w:rsidRPr="00D90199">
        <w:rPr>
          <w:lang w:val="en-GB"/>
        </w:rPr>
        <w:t>70</w:t>
      </w:r>
      <w:r w:rsidRPr="00D63DA4">
        <w:fldChar w:fldCharType="end"/>
      </w:r>
      <w:r w:rsidRPr="00D63DA4">
        <w:rPr>
          <w:lang w:val="en-GB"/>
        </w:rPr>
        <w:t xml:space="preserve"> above), the assessment of the whole investigation is brought within the period of the Panel’s jurisdiction.</w:t>
      </w:r>
    </w:p>
    <w:p w:rsidR="003E3F85" w:rsidRPr="00D63DA4" w:rsidRDefault="003E3F85" w:rsidP="003E3F85">
      <w:pPr>
        <w:tabs>
          <w:tab w:val="left" w:pos="709"/>
        </w:tabs>
        <w:suppressAutoHyphens/>
        <w:autoSpaceDE w:val="0"/>
        <w:ind w:left="450"/>
        <w:jc w:val="both"/>
        <w:rPr>
          <w:lang w:val="en-GB"/>
        </w:rPr>
      </w:pPr>
    </w:p>
    <w:p w:rsidR="003E3F85" w:rsidRPr="00D63DA4" w:rsidRDefault="003E3F85" w:rsidP="003E3F85">
      <w:pPr>
        <w:numPr>
          <w:ilvl w:val="0"/>
          <w:numId w:val="2"/>
        </w:numPr>
        <w:tabs>
          <w:tab w:val="left" w:pos="709"/>
        </w:tabs>
        <w:suppressAutoHyphens/>
        <w:autoSpaceDE w:val="0"/>
        <w:jc w:val="both"/>
        <w:rPr>
          <w:lang w:val="en-GB"/>
        </w:rPr>
      </w:pPr>
      <w:r w:rsidRPr="00D63DA4">
        <w:rPr>
          <w:lang w:val="en-GB"/>
        </w:rPr>
        <w:t xml:space="preserve">In addition, the Panel considers that as those responsible for the crime had not been identified, UNMIK Police was obliged to use the means at their disposal to regularly review the progress of the </w:t>
      </w:r>
      <w:r w:rsidRPr="00D63DA4">
        <w:rPr>
          <w:bCs/>
          <w:lang w:val="en-GB"/>
        </w:rPr>
        <w:t>investigation</w:t>
      </w:r>
      <w:r w:rsidRPr="00D63DA4">
        <w:rPr>
          <w:lang w:val="en-GB"/>
        </w:rPr>
        <w:t xml:space="preserve"> to </w:t>
      </w:r>
      <w:r w:rsidRPr="00D63DA4">
        <w:t>ensure</w:t>
      </w:r>
      <w:r w:rsidRPr="00D63DA4">
        <w:rPr>
          <w:lang w:val="en-GB"/>
        </w:rPr>
        <w:t xml:space="preserve"> that nothing had been overlooked and that any new evidence had been considered, as well as to inform the relatives regarding the progress of this investigation.</w:t>
      </w:r>
    </w:p>
    <w:p w:rsidR="003E3F85" w:rsidRPr="00D63DA4" w:rsidRDefault="003E3F85" w:rsidP="003E3F85">
      <w:pPr>
        <w:tabs>
          <w:tab w:val="left" w:pos="709"/>
        </w:tabs>
        <w:suppressAutoHyphens/>
        <w:autoSpaceDE w:val="0"/>
        <w:ind w:left="450"/>
        <w:jc w:val="both"/>
        <w:rPr>
          <w:lang w:val="en-GB"/>
        </w:rPr>
      </w:pPr>
    </w:p>
    <w:p w:rsidR="00BF3546" w:rsidRPr="00D63DA4" w:rsidRDefault="003E3F85" w:rsidP="00CB1DF7">
      <w:pPr>
        <w:numPr>
          <w:ilvl w:val="0"/>
          <w:numId w:val="2"/>
        </w:numPr>
        <w:tabs>
          <w:tab w:val="clear" w:pos="360"/>
          <w:tab w:val="left" w:pos="709"/>
        </w:tabs>
        <w:suppressAutoHyphens/>
        <w:autoSpaceDE w:val="0"/>
        <w:ind w:left="450" w:hanging="450"/>
        <w:jc w:val="both"/>
        <w:rPr>
          <w:color w:val="000000" w:themeColor="text1"/>
          <w:lang w:val="en-GB"/>
        </w:rPr>
      </w:pPr>
      <w:bookmarkStart w:id="78" w:name="_Ref394500901"/>
      <w:r w:rsidRPr="00D63DA4">
        <w:rPr>
          <w:lang w:val="en-GB"/>
        </w:rPr>
        <w:t xml:space="preserve">The </w:t>
      </w:r>
      <w:r w:rsidRPr="00D63DA4">
        <w:rPr>
          <w:bCs/>
          <w:lang w:val="en-GB"/>
        </w:rPr>
        <w:t>Panel</w:t>
      </w:r>
      <w:r w:rsidRPr="00D63DA4">
        <w:rPr>
          <w:lang w:val="en-GB"/>
        </w:rPr>
        <w:t xml:space="preserve"> </w:t>
      </w:r>
      <w:r w:rsidR="00062401" w:rsidRPr="00D63DA4">
        <w:rPr>
          <w:lang w:val="en-GB"/>
        </w:rPr>
        <w:t>notes</w:t>
      </w:r>
      <w:r w:rsidRPr="00D63DA4">
        <w:rPr>
          <w:lang w:val="en-GB"/>
        </w:rPr>
        <w:t xml:space="preserve"> that</w:t>
      </w:r>
      <w:r w:rsidR="00BF3546" w:rsidRPr="00D63DA4">
        <w:rPr>
          <w:lang w:val="en-GB"/>
        </w:rPr>
        <w:t xml:space="preserve"> the file</w:t>
      </w:r>
      <w:r w:rsidRPr="00D63DA4">
        <w:rPr>
          <w:lang w:val="en-GB"/>
        </w:rPr>
        <w:t xml:space="preserve"> t</w:t>
      </w:r>
      <w:r w:rsidRPr="00D63DA4">
        <w:rPr>
          <w:color w:val="000000" w:themeColor="text1"/>
          <w:lang w:val="en-GB"/>
        </w:rPr>
        <w:t>here</w:t>
      </w:r>
      <w:r w:rsidR="00BF3546" w:rsidRPr="00D63DA4">
        <w:rPr>
          <w:color w:val="000000" w:themeColor="text1"/>
          <w:lang w:val="en-GB"/>
        </w:rPr>
        <w:t xml:space="preserve"> was some investigative activity by the WCIU on 25 May 2008, specifically the completion of a “</w:t>
      </w:r>
      <w:r w:rsidR="00BF3546" w:rsidRPr="00D63DA4">
        <w:t>Case Analysis Review Report”</w:t>
      </w:r>
      <w:r w:rsidR="00BF3546" w:rsidRPr="00D63DA4">
        <w:rPr>
          <w:color w:val="000000" w:themeColor="text1"/>
          <w:lang w:val="en-GB"/>
        </w:rPr>
        <w:t xml:space="preserve"> (see § </w:t>
      </w:r>
      <w:r w:rsidR="00BF3546" w:rsidRPr="00D63DA4">
        <w:rPr>
          <w:color w:val="000000" w:themeColor="text1"/>
          <w:lang w:val="en-GB"/>
        </w:rPr>
        <w:fldChar w:fldCharType="begin"/>
      </w:r>
      <w:r w:rsidR="00BF3546" w:rsidRPr="00D63DA4">
        <w:rPr>
          <w:color w:val="000000" w:themeColor="text1"/>
          <w:lang w:val="en-GB"/>
        </w:rPr>
        <w:instrText xml:space="preserve"> REF _Ref398131823 \r \h  \* MERGEFORMAT </w:instrText>
      </w:r>
      <w:r w:rsidR="00BF3546" w:rsidRPr="00D63DA4">
        <w:rPr>
          <w:color w:val="000000" w:themeColor="text1"/>
          <w:lang w:val="en-GB"/>
        </w:rPr>
      </w:r>
      <w:r w:rsidR="00BF3546" w:rsidRPr="00D63DA4">
        <w:rPr>
          <w:color w:val="000000" w:themeColor="text1"/>
          <w:lang w:val="en-GB"/>
        </w:rPr>
        <w:fldChar w:fldCharType="separate"/>
      </w:r>
      <w:r w:rsidR="00D90199">
        <w:rPr>
          <w:color w:val="000000" w:themeColor="text1"/>
          <w:lang w:val="en-GB"/>
        </w:rPr>
        <w:t>29</w:t>
      </w:r>
      <w:r w:rsidR="00BF3546" w:rsidRPr="00D63DA4">
        <w:rPr>
          <w:color w:val="000000" w:themeColor="text1"/>
          <w:lang w:val="en-GB"/>
        </w:rPr>
        <w:fldChar w:fldCharType="end"/>
      </w:r>
      <w:r w:rsidR="00BF3546" w:rsidRPr="00D63DA4">
        <w:rPr>
          <w:color w:val="000000" w:themeColor="text1"/>
          <w:lang w:val="en-GB"/>
        </w:rPr>
        <w:t xml:space="preserve"> above).     However, the Panel notes that as the WCIU document from 2008 does not show any further information about </w:t>
      </w:r>
      <w:r w:rsidR="00BF3546" w:rsidRPr="00D63DA4">
        <w:t>Mr Momir Milenković’s</w:t>
      </w:r>
      <w:r w:rsidR="00BF3546" w:rsidRPr="00D63DA4">
        <w:rPr>
          <w:color w:val="000000" w:themeColor="text1"/>
          <w:lang w:val="en-GB"/>
        </w:rPr>
        <w:t xml:space="preserve"> abduction</w:t>
      </w:r>
      <w:r w:rsidR="00D04174" w:rsidRPr="00D63DA4">
        <w:rPr>
          <w:lang w:val="en-GB"/>
        </w:rPr>
        <w:t xml:space="preserve"> and disappearance</w:t>
      </w:r>
      <w:r w:rsidR="00BF3546" w:rsidRPr="00D63DA4">
        <w:rPr>
          <w:color w:val="000000" w:themeColor="text1"/>
          <w:lang w:val="en-GB"/>
        </w:rPr>
        <w:t xml:space="preserve"> than what UNMIK MPU </w:t>
      </w:r>
      <w:r w:rsidR="002D73EB" w:rsidRPr="00D63DA4">
        <w:rPr>
          <w:color w:val="000000" w:themeColor="text1"/>
          <w:lang w:val="en-GB"/>
        </w:rPr>
        <w:t xml:space="preserve">already </w:t>
      </w:r>
      <w:r w:rsidR="00BF3546" w:rsidRPr="00D63DA4">
        <w:rPr>
          <w:color w:val="000000" w:themeColor="text1"/>
          <w:lang w:val="en-GB"/>
        </w:rPr>
        <w:t xml:space="preserve">knew about the case in 2004, it does not appear that WCIU accomplished much, if anything, during its investigation since that time. </w:t>
      </w:r>
    </w:p>
    <w:p w:rsidR="00BF3546" w:rsidRPr="00D63DA4" w:rsidRDefault="00BF3546" w:rsidP="00BF3546">
      <w:pPr>
        <w:pStyle w:val="ListParagraph"/>
        <w:rPr>
          <w:color w:val="000000" w:themeColor="text1"/>
          <w:lang w:val="en-GB" w:eastAsia="en-US"/>
        </w:rPr>
      </w:pPr>
    </w:p>
    <w:p w:rsidR="00BF3546" w:rsidRPr="00D63DA4" w:rsidRDefault="00BF3546" w:rsidP="00CB1DF7">
      <w:pPr>
        <w:numPr>
          <w:ilvl w:val="0"/>
          <w:numId w:val="2"/>
        </w:numPr>
        <w:tabs>
          <w:tab w:val="clear" w:pos="360"/>
          <w:tab w:val="left" w:pos="709"/>
        </w:tabs>
        <w:suppressAutoHyphens/>
        <w:autoSpaceDE w:val="0"/>
        <w:ind w:left="450" w:hanging="450"/>
        <w:jc w:val="both"/>
        <w:rPr>
          <w:color w:val="000000" w:themeColor="text1"/>
          <w:lang w:val="en-GB"/>
        </w:rPr>
      </w:pPr>
      <w:r w:rsidRPr="00D63DA4">
        <w:rPr>
          <w:color w:val="000000" w:themeColor="text1"/>
          <w:lang w:val="en-GB"/>
        </w:rPr>
        <w:t xml:space="preserve">In the Panel’s opinion, there is no evidence that UNMIK Police undertook an adequate and thorough review of this case. Instead, whatever investigative activity may have occurred, it appears to have been undertaken as a mere formality, as police failed to identify </w:t>
      </w:r>
      <w:r w:rsidRPr="00D63DA4">
        <w:rPr>
          <w:color w:val="000000" w:themeColor="text1"/>
        </w:rPr>
        <w:t>obvious</w:t>
      </w:r>
      <w:r w:rsidRPr="00D63DA4">
        <w:rPr>
          <w:color w:val="000000" w:themeColor="text1"/>
          <w:lang w:val="en-GB"/>
        </w:rPr>
        <w:t xml:space="preserve"> gaps in the investigative process and failed to act upon available information, thus carrying over the mistakes made by previous investigator(s).</w:t>
      </w:r>
    </w:p>
    <w:bookmarkEnd w:id="78"/>
    <w:p w:rsidR="003E3F85" w:rsidRPr="00D63DA4" w:rsidRDefault="003E3F85" w:rsidP="003E3F85">
      <w:pPr>
        <w:tabs>
          <w:tab w:val="left" w:pos="709"/>
        </w:tabs>
        <w:suppressAutoHyphens/>
        <w:autoSpaceDE w:val="0"/>
        <w:jc w:val="both"/>
        <w:rPr>
          <w:color w:val="000000" w:themeColor="text1"/>
          <w:lang w:val="en-GB"/>
        </w:rPr>
      </w:pPr>
    </w:p>
    <w:p w:rsidR="00BF3546" w:rsidRPr="00D63DA4" w:rsidRDefault="003E3F85" w:rsidP="00CB1DF7">
      <w:pPr>
        <w:numPr>
          <w:ilvl w:val="0"/>
          <w:numId w:val="2"/>
        </w:numPr>
        <w:tabs>
          <w:tab w:val="clear" w:pos="360"/>
          <w:tab w:val="left" w:pos="709"/>
        </w:tabs>
        <w:suppressAutoHyphens/>
        <w:autoSpaceDE w:val="0"/>
        <w:ind w:left="450" w:hanging="450"/>
        <w:jc w:val="both"/>
        <w:rPr>
          <w:lang w:val="en-GB"/>
        </w:rPr>
      </w:pPr>
      <w:r w:rsidRPr="00D63DA4">
        <w:rPr>
          <w:lang w:val="en-GB"/>
        </w:rPr>
        <w:lastRenderedPageBreak/>
        <w:t xml:space="preserve">The apparent lack of any </w:t>
      </w:r>
      <w:r w:rsidRPr="00D63DA4">
        <w:rPr>
          <w:bCs/>
        </w:rPr>
        <w:t xml:space="preserve">immediate </w:t>
      </w:r>
      <w:r w:rsidRPr="00D63DA4">
        <w:rPr>
          <w:lang w:val="en-GB"/>
        </w:rPr>
        <w:t>reaction from UNMIK Police, and of any adequate action at later stages, may have suggested to the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that UNMIK had encountered at the beginning of its mission, which were discussed above, do not justify such inaction, either at the outset or subsequently.</w:t>
      </w:r>
    </w:p>
    <w:p w:rsidR="003E3F85" w:rsidRPr="00D63DA4" w:rsidRDefault="003E3F85" w:rsidP="00D04174">
      <w:pPr>
        <w:tabs>
          <w:tab w:val="left" w:pos="709"/>
        </w:tabs>
        <w:suppressAutoHyphens/>
        <w:autoSpaceDE w:val="0"/>
        <w:jc w:val="both"/>
        <w:rPr>
          <w:lang w:val="en-GB"/>
        </w:rPr>
      </w:pPr>
    </w:p>
    <w:p w:rsidR="003E3F85" w:rsidRPr="00D63DA4" w:rsidRDefault="003E3F85" w:rsidP="003B3907">
      <w:pPr>
        <w:numPr>
          <w:ilvl w:val="0"/>
          <w:numId w:val="2"/>
        </w:numPr>
        <w:tabs>
          <w:tab w:val="clear" w:pos="360"/>
          <w:tab w:val="left" w:pos="709"/>
        </w:tabs>
        <w:suppressAutoHyphens/>
        <w:autoSpaceDE w:val="0"/>
        <w:ind w:left="450" w:hanging="450"/>
        <w:jc w:val="both"/>
        <w:rPr>
          <w:lang w:val="en-GB"/>
        </w:rPr>
      </w:pPr>
      <w:r w:rsidRPr="00D63DA4">
        <w:rPr>
          <w:lang w:val="en-GB"/>
        </w:rPr>
        <w:t xml:space="preserve">The Panel is also aware that the duty to investigate is not breached merely because the investigation does not produce a satisfactory result. Nevertheless, such an investigation must be undertaken in a serious manner and not be a mere formality. The Panel considers that, having regard to all the circumstances of the particular case, not all reasonable steps were taken by UNMIK towards identifying the perpetrators and bringing them to justice. In this sense the Panel considers that the investigation was not adequate and did not comply with the requirements of promptness, expedition and effectiveness (see § </w:t>
      </w:r>
      <w:r w:rsidRPr="00D63DA4">
        <w:fldChar w:fldCharType="begin"/>
      </w:r>
      <w:r w:rsidRPr="00D63DA4">
        <w:instrText xml:space="preserve"> REF _Ref366239979 \r \h  \* MERGEFORMAT </w:instrText>
      </w:r>
      <w:r w:rsidRPr="00D63DA4">
        <w:fldChar w:fldCharType="separate"/>
      </w:r>
      <w:r w:rsidR="00D90199" w:rsidRPr="00D90199">
        <w:rPr>
          <w:lang w:val="en-GB"/>
        </w:rPr>
        <w:t>67</w:t>
      </w:r>
      <w:r w:rsidRPr="00D63DA4">
        <w:fldChar w:fldCharType="end"/>
      </w:r>
      <w:r w:rsidRPr="00D63DA4">
        <w:rPr>
          <w:lang w:val="en-GB"/>
        </w:rPr>
        <w:t xml:space="preserve"> above), as required by Article 2 of the ECHR.</w:t>
      </w:r>
    </w:p>
    <w:p w:rsidR="003E3F85" w:rsidRPr="00D63DA4" w:rsidRDefault="003E3F85" w:rsidP="003E3F85">
      <w:pPr>
        <w:tabs>
          <w:tab w:val="left" w:pos="709"/>
        </w:tabs>
        <w:suppressAutoHyphens/>
        <w:autoSpaceDE w:val="0"/>
        <w:ind w:left="450"/>
        <w:jc w:val="both"/>
        <w:rPr>
          <w:lang w:val="en-GB"/>
        </w:rPr>
      </w:pPr>
    </w:p>
    <w:p w:rsidR="003E3F85" w:rsidRPr="00D63DA4" w:rsidRDefault="003E3F85" w:rsidP="003B3907">
      <w:pPr>
        <w:numPr>
          <w:ilvl w:val="0"/>
          <w:numId w:val="2"/>
        </w:numPr>
        <w:tabs>
          <w:tab w:val="clear" w:pos="360"/>
          <w:tab w:val="left" w:pos="709"/>
        </w:tabs>
        <w:suppressAutoHyphens/>
        <w:autoSpaceDE w:val="0"/>
        <w:ind w:left="450" w:hanging="450"/>
        <w:jc w:val="both"/>
      </w:pPr>
      <w:r w:rsidRPr="00D63DA4">
        <w:t xml:space="preserve">As </w:t>
      </w:r>
      <w:r w:rsidRPr="00D63DA4">
        <w:rPr>
          <w:lang w:val="en-GB"/>
        </w:rPr>
        <w:t>concerns</w:t>
      </w:r>
      <w:r w:rsidRPr="00D63DA4">
        <w:rPr>
          <w:lang w:val="en-GB" w:eastAsia="en-GB"/>
        </w:rPr>
        <w:t xml:space="preserve"> the requirement of </w:t>
      </w:r>
      <w:r w:rsidRPr="00D63DA4">
        <w:t>public</w:t>
      </w:r>
      <w:r w:rsidRPr="00D63DA4">
        <w:rPr>
          <w:lang w:val="en-GB" w:eastAsia="en-GB"/>
        </w:rPr>
        <w:t xml:space="preserve"> scrutiny, the Panel recalls that Article 2 also requires </w:t>
      </w:r>
      <w:r w:rsidRPr="00D63DA4">
        <w:rPr>
          <w:lang w:val="en-GB"/>
        </w:rPr>
        <w:t>the</w:t>
      </w:r>
      <w:r w:rsidRPr="00D63DA4">
        <w:rPr>
          <w:lang w:val="en-GB" w:eastAsia="en-GB"/>
        </w:rPr>
        <w:t xml:space="preserve"> victims’ next-of-kin to be involved in the investigation to the extent necessary to safeguard his or her legitimate interests.</w:t>
      </w:r>
    </w:p>
    <w:p w:rsidR="003E3F85" w:rsidRPr="00D63DA4" w:rsidRDefault="003E3F85" w:rsidP="003E3F85">
      <w:pPr>
        <w:tabs>
          <w:tab w:val="left" w:pos="709"/>
        </w:tabs>
        <w:suppressAutoHyphens/>
        <w:autoSpaceDE w:val="0"/>
        <w:ind w:left="450"/>
        <w:jc w:val="both"/>
      </w:pPr>
    </w:p>
    <w:p w:rsidR="003E3F85" w:rsidRPr="00D63DA4" w:rsidRDefault="00BF3546" w:rsidP="003B3907">
      <w:pPr>
        <w:numPr>
          <w:ilvl w:val="0"/>
          <w:numId w:val="2"/>
        </w:numPr>
        <w:tabs>
          <w:tab w:val="clear" w:pos="360"/>
          <w:tab w:val="left" w:pos="709"/>
        </w:tabs>
        <w:suppressAutoHyphens/>
        <w:autoSpaceDE w:val="0"/>
        <w:ind w:left="450" w:hanging="450"/>
        <w:jc w:val="both"/>
        <w:rPr>
          <w:lang w:val="en-GB"/>
        </w:rPr>
      </w:pPr>
      <w:bookmarkStart w:id="79" w:name="_Ref398136335"/>
      <w:r w:rsidRPr="00D63DA4">
        <w:t xml:space="preserve">As was shown above, the investigative file shows only two attempts made by UNMIK Police to contact the next-of-kin of Mr Momir Milenković. The only contacts with the complainant’s family were made by the MPU, when it </w:t>
      </w:r>
      <w:r w:rsidRPr="00D63DA4">
        <w:rPr>
          <w:lang w:val="en-GB"/>
        </w:rPr>
        <w:t>collected ante-mortem information from the complainant’s brother and mother in 1999</w:t>
      </w:r>
      <w:r w:rsidRPr="00D63DA4">
        <w:t xml:space="preserve"> and on 17 April 2004 when it </w:t>
      </w:r>
      <w:r w:rsidRPr="00D63DA4">
        <w:rPr>
          <w:lang w:val="en-GB"/>
        </w:rPr>
        <w:t>contacted the complainant’s brother to update its information about the abduction</w:t>
      </w:r>
      <w:r w:rsidR="00D04174" w:rsidRPr="00D63DA4">
        <w:rPr>
          <w:lang w:val="en-GB"/>
        </w:rPr>
        <w:t xml:space="preserve"> and disappearance</w:t>
      </w:r>
      <w:r w:rsidRPr="00D63DA4">
        <w:rPr>
          <w:lang w:val="en-GB"/>
        </w:rPr>
        <w:t xml:space="preserve"> of </w:t>
      </w:r>
      <w:r w:rsidRPr="00D63DA4">
        <w:t>Mr Momir Milenković.</w:t>
      </w:r>
      <w:r w:rsidRPr="00D63DA4">
        <w:rPr>
          <w:color w:val="000000"/>
        </w:rPr>
        <w:t xml:space="preserve"> In this regard, the Panel has already noted that the investigative file shows that there has been no other contact between UNMIK and the complainant with respect to the investigation (see § </w:t>
      </w:r>
      <w:r w:rsidRPr="00D63DA4">
        <w:rPr>
          <w:color w:val="000000"/>
        </w:rPr>
        <w:fldChar w:fldCharType="begin"/>
      </w:r>
      <w:r w:rsidRPr="00D63DA4">
        <w:rPr>
          <w:color w:val="000000"/>
        </w:rPr>
        <w:instrText xml:space="preserve"> REF _Ref395174344 \r \h  \* MERGEFORMAT </w:instrText>
      </w:r>
      <w:r w:rsidRPr="00D63DA4">
        <w:rPr>
          <w:color w:val="000000"/>
        </w:rPr>
      </w:r>
      <w:r w:rsidRPr="00D63DA4">
        <w:rPr>
          <w:color w:val="000000"/>
        </w:rPr>
        <w:fldChar w:fldCharType="separate"/>
      </w:r>
      <w:r w:rsidR="00D90199">
        <w:rPr>
          <w:color w:val="000000"/>
        </w:rPr>
        <w:t>92</w:t>
      </w:r>
      <w:r w:rsidRPr="00D63DA4">
        <w:rPr>
          <w:color w:val="000000"/>
        </w:rPr>
        <w:fldChar w:fldCharType="end"/>
      </w:r>
      <w:r w:rsidRPr="00D63DA4">
        <w:rPr>
          <w:color w:val="000000"/>
        </w:rPr>
        <w:t xml:space="preserve"> above).</w:t>
      </w:r>
      <w:r w:rsidRPr="00D63DA4">
        <w:t xml:space="preserve"> </w:t>
      </w:r>
      <w:r w:rsidR="003E3F85" w:rsidRPr="00D63DA4">
        <w:rPr>
          <w:color w:val="000000"/>
        </w:rPr>
        <w:t xml:space="preserve"> </w:t>
      </w:r>
      <w:r w:rsidR="003E3F85" w:rsidRPr="00D63DA4">
        <w:rPr>
          <w:lang w:val="en-GB"/>
        </w:rPr>
        <w:t>The Panel therefore considers that the investigation was not open to any public scrutiny, as required by Article 2 of the ECHR.</w:t>
      </w:r>
      <w:bookmarkEnd w:id="79"/>
    </w:p>
    <w:p w:rsidR="003E3F85" w:rsidRPr="00D63DA4" w:rsidRDefault="003E3F85" w:rsidP="003E3F85">
      <w:pPr>
        <w:pStyle w:val="ListParagraph"/>
        <w:rPr>
          <w:lang w:val="en-GB"/>
        </w:rPr>
      </w:pPr>
    </w:p>
    <w:p w:rsidR="003E3F85" w:rsidRPr="00D63DA4" w:rsidRDefault="003E3F85" w:rsidP="003B3907">
      <w:pPr>
        <w:numPr>
          <w:ilvl w:val="0"/>
          <w:numId w:val="2"/>
        </w:numPr>
        <w:tabs>
          <w:tab w:val="clear" w:pos="360"/>
          <w:tab w:val="left" w:pos="709"/>
        </w:tabs>
        <w:suppressAutoHyphens/>
        <w:autoSpaceDE w:val="0"/>
        <w:ind w:left="450" w:hanging="450"/>
        <w:jc w:val="both"/>
        <w:rPr>
          <w:lang w:val="en-GB"/>
        </w:rPr>
      </w:pPr>
      <w:r w:rsidRPr="00D63DA4">
        <w:rPr>
          <w:lang w:val="en-GB"/>
        </w:rPr>
        <w:t xml:space="preserve">In light of the </w:t>
      </w:r>
      <w:r w:rsidRPr="00D63DA4">
        <w:rPr>
          <w:bCs/>
        </w:rPr>
        <w:t>deficiencies</w:t>
      </w:r>
      <w:r w:rsidRPr="00D63DA4">
        <w:rPr>
          <w:lang w:val="en-GB"/>
        </w:rPr>
        <w:t xml:space="preserve"> and shortcomings described above, the Panel concludes that UNMIK failed to carry out an </w:t>
      </w:r>
      <w:r w:rsidRPr="00D63DA4">
        <w:rPr>
          <w:lang w:val="en-GB" w:eastAsia="en-GB"/>
        </w:rPr>
        <w:t>effective</w:t>
      </w:r>
      <w:r w:rsidRPr="00D63DA4">
        <w:rPr>
          <w:lang w:val="en-GB"/>
        </w:rPr>
        <w:t xml:space="preserve"> investigation into the </w:t>
      </w:r>
      <w:r w:rsidR="00BF3546" w:rsidRPr="00D63DA4">
        <w:rPr>
          <w:bCs/>
          <w:lang w:val="en-GB"/>
        </w:rPr>
        <w:t>abduction</w:t>
      </w:r>
      <w:r w:rsidR="00D04174" w:rsidRPr="00D63DA4">
        <w:rPr>
          <w:lang w:val="en-GB"/>
        </w:rPr>
        <w:t xml:space="preserve"> and disappearance</w:t>
      </w:r>
      <w:r w:rsidRPr="00D63DA4">
        <w:rPr>
          <w:bCs/>
          <w:lang w:val="en-GB"/>
        </w:rPr>
        <w:t xml:space="preserve"> of </w:t>
      </w:r>
      <w:r w:rsidR="00BF3546" w:rsidRPr="00D63DA4">
        <w:t>Mr Momir Milenković</w:t>
      </w:r>
      <w:r w:rsidR="002948A6" w:rsidRPr="00D63DA4">
        <w:rPr>
          <w:lang w:val="en-GB"/>
        </w:rPr>
        <w:t xml:space="preserve">. </w:t>
      </w:r>
      <w:r w:rsidRPr="00D63DA4">
        <w:rPr>
          <w:lang w:val="en-GB"/>
        </w:rPr>
        <w:t xml:space="preserve">There </w:t>
      </w:r>
      <w:r w:rsidRPr="00D63DA4">
        <w:rPr>
          <w:lang w:val="en-GB" w:eastAsia="en-GB"/>
        </w:rPr>
        <w:t>has</w:t>
      </w:r>
      <w:r w:rsidRPr="00D63DA4">
        <w:rPr>
          <w:lang w:val="en-GB"/>
        </w:rPr>
        <w:t xml:space="preserve"> accordingly been a violation of Article 2, procedural limb, of the ECHR. </w:t>
      </w:r>
    </w:p>
    <w:p w:rsidR="00BF3546" w:rsidRPr="00D63DA4" w:rsidRDefault="00BF3546" w:rsidP="00BF3546">
      <w:pPr>
        <w:pStyle w:val="ListParagraph"/>
        <w:rPr>
          <w:lang w:val="en-GB"/>
        </w:rPr>
      </w:pPr>
    </w:p>
    <w:p w:rsidR="00BF3546" w:rsidRPr="00D63DA4" w:rsidRDefault="00BF3546" w:rsidP="00BF3546">
      <w:pPr>
        <w:pStyle w:val="ListParagraph"/>
        <w:numPr>
          <w:ilvl w:val="0"/>
          <w:numId w:val="4"/>
        </w:numPr>
        <w:jc w:val="both"/>
        <w:rPr>
          <w:b/>
          <w:color w:val="000000" w:themeColor="text1"/>
          <w:lang w:val="en-GB"/>
        </w:rPr>
      </w:pPr>
      <w:r w:rsidRPr="00D63DA4">
        <w:rPr>
          <w:b/>
          <w:color w:val="000000" w:themeColor="text1"/>
          <w:lang w:val="en-GB"/>
        </w:rPr>
        <w:t>Alleged violation of Article 3 of the ECHR</w:t>
      </w:r>
    </w:p>
    <w:p w:rsidR="00BF3546" w:rsidRPr="00D63DA4" w:rsidRDefault="00BF3546" w:rsidP="00BF3546">
      <w:pPr>
        <w:rPr>
          <w:lang w:val="en-GB"/>
        </w:rPr>
      </w:pPr>
    </w:p>
    <w:p w:rsidR="00BF3546" w:rsidRPr="00D63DA4" w:rsidRDefault="00BF3546" w:rsidP="00E628EF">
      <w:pPr>
        <w:numPr>
          <w:ilvl w:val="0"/>
          <w:numId w:val="2"/>
        </w:numPr>
        <w:tabs>
          <w:tab w:val="clear" w:pos="360"/>
          <w:tab w:val="left" w:pos="709"/>
        </w:tabs>
        <w:suppressAutoHyphens/>
        <w:autoSpaceDE w:val="0"/>
        <w:ind w:left="450" w:hanging="450"/>
        <w:jc w:val="both"/>
        <w:rPr>
          <w:lang w:val="en-GB"/>
        </w:rPr>
      </w:pPr>
      <w:r w:rsidRPr="00D63DA4">
        <w:rPr>
          <w:lang w:val="en-GB"/>
        </w:rPr>
        <w:t xml:space="preserve">The Panel </w:t>
      </w:r>
      <w:r w:rsidRPr="00E628EF">
        <w:rPr>
          <w:color w:val="000000" w:themeColor="text1"/>
          <w:lang w:val="en-GB"/>
        </w:rPr>
        <w:t>considers</w:t>
      </w:r>
      <w:r w:rsidRPr="00D63DA4">
        <w:rPr>
          <w:lang w:val="en-GB"/>
        </w:rPr>
        <w:t xml:space="preserve"> that the complainant invokes, in substance, a violation of the right to be free from inhumane or degrading treatment, guaranteed by Article 3 of the ECHR.</w:t>
      </w:r>
    </w:p>
    <w:p w:rsidR="00BF3546" w:rsidRPr="00D63DA4" w:rsidRDefault="00BF3546" w:rsidP="00BF3546">
      <w:pPr>
        <w:tabs>
          <w:tab w:val="left" w:pos="709"/>
        </w:tabs>
        <w:suppressAutoHyphens/>
        <w:autoSpaceDE w:val="0"/>
        <w:ind w:left="360"/>
        <w:jc w:val="both"/>
        <w:rPr>
          <w:lang w:val="en-GB"/>
        </w:rPr>
      </w:pPr>
    </w:p>
    <w:p w:rsidR="00BF3546" w:rsidRPr="00D63DA4" w:rsidRDefault="00BF3546" w:rsidP="00BF3546">
      <w:pPr>
        <w:pStyle w:val="ListParagraph1"/>
        <w:numPr>
          <w:ilvl w:val="0"/>
          <w:numId w:val="15"/>
        </w:numPr>
        <w:jc w:val="both"/>
        <w:rPr>
          <w:b/>
        </w:rPr>
      </w:pPr>
      <w:r w:rsidRPr="00D63DA4">
        <w:rPr>
          <w:b/>
        </w:rPr>
        <w:t xml:space="preserve">The scope of the Panel’s review </w:t>
      </w:r>
    </w:p>
    <w:p w:rsidR="00BF3546" w:rsidRPr="00D63DA4" w:rsidRDefault="00BF3546" w:rsidP="00BF3546">
      <w:pPr>
        <w:tabs>
          <w:tab w:val="left" w:pos="709"/>
        </w:tabs>
        <w:suppressAutoHyphens/>
        <w:autoSpaceDE w:val="0"/>
        <w:jc w:val="both"/>
        <w:rPr>
          <w:lang w:val="en-GB"/>
        </w:rPr>
      </w:pPr>
    </w:p>
    <w:p w:rsidR="00BF3546" w:rsidRPr="00D63DA4" w:rsidRDefault="00BF3546" w:rsidP="00E628EF">
      <w:pPr>
        <w:numPr>
          <w:ilvl w:val="0"/>
          <w:numId w:val="2"/>
        </w:numPr>
        <w:tabs>
          <w:tab w:val="clear" w:pos="360"/>
          <w:tab w:val="left" w:pos="709"/>
        </w:tabs>
        <w:suppressAutoHyphens/>
        <w:autoSpaceDE w:val="0"/>
        <w:ind w:left="450" w:hanging="450"/>
        <w:jc w:val="both"/>
        <w:rPr>
          <w:lang w:val="en-GB"/>
        </w:rPr>
      </w:pPr>
      <w:r w:rsidRPr="00D63DA4">
        <w:rPr>
          <w:lang w:val="en-GB"/>
        </w:rPr>
        <w:t xml:space="preserve">The Panel will consider </w:t>
      </w:r>
      <w:r w:rsidRPr="00D63DA4">
        <w:rPr>
          <w:bCs/>
        </w:rPr>
        <w:t>the</w:t>
      </w:r>
      <w:r w:rsidRPr="00D63DA4">
        <w:rPr>
          <w:lang w:val="en-GB"/>
        </w:rPr>
        <w:t xml:space="preserve"> allegations under Article 3 of the ECHR, applying the same scope of </w:t>
      </w:r>
      <w:r w:rsidRPr="00E628EF">
        <w:rPr>
          <w:color w:val="000000" w:themeColor="text1"/>
          <w:lang w:val="en-GB"/>
        </w:rPr>
        <w:t>review</w:t>
      </w:r>
      <w:r w:rsidRPr="00D63DA4">
        <w:rPr>
          <w:lang w:val="en-GB"/>
        </w:rPr>
        <w:t xml:space="preserve"> as was set out with regard to Article 2 (see §§ </w:t>
      </w:r>
      <w:r w:rsidRPr="00D63DA4">
        <w:fldChar w:fldCharType="begin"/>
      </w:r>
      <w:r w:rsidRPr="00D63DA4">
        <w:rPr>
          <w:lang w:val="en-GB"/>
        </w:rPr>
        <w:instrText xml:space="preserve"> REF _Ref398135217 \r \h </w:instrText>
      </w:r>
      <w:r w:rsidR="00D63DA4" w:rsidRPr="00D63DA4">
        <w:instrText xml:space="preserve"> \* MERGEFORMAT </w:instrText>
      </w:r>
      <w:r w:rsidRPr="00D63DA4">
        <w:fldChar w:fldCharType="separate"/>
      </w:r>
      <w:r w:rsidR="00D90199">
        <w:rPr>
          <w:lang w:val="en-GB"/>
        </w:rPr>
        <w:t>35</w:t>
      </w:r>
      <w:r w:rsidRPr="00D63DA4">
        <w:fldChar w:fldCharType="end"/>
      </w:r>
      <w:r w:rsidRPr="00D63DA4">
        <w:rPr>
          <w:lang w:val="en-GB"/>
        </w:rPr>
        <w:t xml:space="preserve"> - </w:t>
      </w:r>
      <w:r w:rsidRPr="00D63DA4">
        <w:fldChar w:fldCharType="begin"/>
      </w:r>
      <w:r w:rsidRPr="00D63DA4">
        <w:rPr>
          <w:lang w:val="en-GB"/>
        </w:rPr>
        <w:instrText xml:space="preserve"> REF _Ref346123885 \r \h </w:instrText>
      </w:r>
      <w:r w:rsidR="00D63DA4" w:rsidRPr="00D63DA4">
        <w:instrText xml:space="preserve"> \* MERGEFORMAT </w:instrText>
      </w:r>
      <w:r w:rsidRPr="00D63DA4">
        <w:fldChar w:fldCharType="separate"/>
      </w:r>
      <w:r w:rsidR="00D90199">
        <w:rPr>
          <w:lang w:val="en-GB"/>
        </w:rPr>
        <w:t>40</w:t>
      </w:r>
      <w:r w:rsidRPr="00D63DA4">
        <w:fldChar w:fldCharType="end"/>
      </w:r>
      <w:r w:rsidRPr="00D63DA4">
        <w:t xml:space="preserve"> </w:t>
      </w:r>
      <w:r w:rsidRPr="00D63DA4">
        <w:rPr>
          <w:lang w:val="en-GB"/>
        </w:rPr>
        <w:t xml:space="preserve">above). </w:t>
      </w:r>
    </w:p>
    <w:p w:rsidR="00BF3546" w:rsidRPr="00D63DA4" w:rsidRDefault="00BF3546" w:rsidP="00BF3546">
      <w:pPr>
        <w:pStyle w:val="ListParagraph"/>
        <w:autoSpaceDE w:val="0"/>
        <w:ind w:left="450"/>
        <w:jc w:val="both"/>
        <w:rPr>
          <w:lang w:val="en-GB"/>
        </w:rPr>
      </w:pPr>
    </w:p>
    <w:p w:rsidR="00BF3546" w:rsidRPr="00D63DA4" w:rsidRDefault="00BF3546" w:rsidP="00E628EF">
      <w:pPr>
        <w:numPr>
          <w:ilvl w:val="0"/>
          <w:numId w:val="2"/>
        </w:numPr>
        <w:tabs>
          <w:tab w:val="clear" w:pos="360"/>
          <w:tab w:val="left" w:pos="709"/>
        </w:tabs>
        <w:suppressAutoHyphens/>
        <w:autoSpaceDE w:val="0"/>
        <w:ind w:left="450" w:hanging="450"/>
        <w:jc w:val="both"/>
        <w:rPr>
          <w:lang w:val="en-GB"/>
        </w:rPr>
      </w:pPr>
      <w:bookmarkStart w:id="80" w:name="_Ref374623030"/>
      <w:r w:rsidRPr="00D63DA4">
        <w:rPr>
          <w:lang w:val="en-GB"/>
        </w:rPr>
        <w:t xml:space="preserve">The Panel recalls that the European Court of Human Rights has found on many occasions that a situation of </w:t>
      </w:r>
      <w:r w:rsidRPr="00D63DA4">
        <w:rPr>
          <w:bCs/>
        </w:rPr>
        <w:t>enforced</w:t>
      </w:r>
      <w:r w:rsidRPr="00D63DA4">
        <w:rPr>
          <w:lang w:val="en-GB"/>
        </w:rPr>
        <w:t xml:space="preserve">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D63DA4">
        <w:rPr>
          <w:i/>
          <w:lang w:val="en-GB"/>
        </w:rPr>
        <w:t>Çakici v. Turkey</w:t>
      </w:r>
      <w:r w:rsidRPr="00D63DA4">
        <w:rPr>
          <w:lang w:val="en-GB"/>
        </w:rPr>
        <w:t xml:space="preserve">, no. 23657/94, judgment of 8 July 1999, § 98, </w:t>
      </w:r>
      <w:r w:rsidRPr="00D63DA4">
        <w:rPr>
          <w:i/>
          <w:lang w:val="en-GB"/>
        </w:rPr>
        <w:t>ECHR</w:t>
      </w:r>
      <w:r w:rsidRPr="00D63DA4">
        <w:rPr>
          <w:lang w:val="en-GB"/>
        </w:rPr>
        <w:t xml:space="preserve">, 1999-IV; ECtHR [GC], </w:t>
      </w:r>
      <w:r w:rsidRPr="00D63DA4">
        <w:rPr>
          <w:i/>
          <w:lang w:val="en-GB"/>
        </w:rPr>
        <w:t>Cyprus v. Turkey</w:t>
      </w:r>
      <w:r w:rsidRPr="00D63DA4">
        <w:rPr>
          <w:lang w:val="en-GB"/>
        </w:rPr>
        <w:t>, no. 25781/94, judgment of 10 May 2001, § 156,</w:t>
      </w:r>
      <w:r w:rsidRPr="00D63DA4">
        <w:rPr>
          <w:i/>
          <w:lang w:val="en-GB"/>
        </w:rPr>
        <w:t xml:space="preserve"> ECHR</w:t>
      </w:r>
      <w:r w:rsidRPr="00D63DA4">
        <w:rPr>
          <w:lang w:val="en-GB"/>
        </w:rPr>
        <w:t xml:space="preserve">, 2001-IV; ECtHR, </w:t>
      </w:r>
      <w:r w:rsidRPr="00D63DA4">
        <w:rPr>
          <w:i/>
          <w:lang w:val="en-GB"/>
        </w:rPr>
        <w:t>Orhan v. Turkey</w:t>
      </w:r>
      <w:r w:rsidRPr="00D63DA4">
        <w:rPr>
          <w:lang w:val="en-GB"/>
        </w:rPr>
        <w:t xml:space="preserve">, no. 25656/94, judgment of 18 June 2002, § 358; ECtHR, </w:t>
      </w:r>
      <w:r w:rsidRPr="00D63DA4">
        <w:rPr>
          <w:i/>
          <w:lang w:val="en-GB"/>
        </w:rPr>
        <w:t>Bazorkina v. Russia</w:t>
      </w:r>
      <w:r w:rsidRPr="00D63DA4">
        <w:rPr>
          <w:lang w:val="en-GB"/>
        </w:rPr>
        <w:t xml:space="preserve">, cited in § </w:t>
      </w:r>
      <w:r w:rsidRPr="00D63DA4">
        <w:fldChar w:fldCharType="begin"/>
      </w:r>
      <w:r w:rsidRPr="00D63DA4">
        <w:rPr>
          <w:lang w:val="en-GB"/>
        </w:rPr>
        <w:instrText xml:space="preserve"> REF _Ref366241459 \r \h </w:instrText>
      </w:r>
      <w:r w:rsidR="00D63DA4" w:rsidRPr="00D63DA4">
        <w:instrText xml:space="preserve"> \* MERGEFORMAT </w:instrText>
      </w:r>
      <w:r w:rsidRPr="00D63DA4">
        <w:fldChar w:fldCharType="separate"/>
      </w:r>
      <w:r w:rsidR="00D90199">
        <w:rPr>
          <w:lang w:val="en-GB"/>
        </w:rPr>
        <w:t>78</w:t>
      </w:r>
      <w:r w:rsidRPr="00D63DA4">
        <w:fldChar w:fldCharType="end"/>
      </w:r>
      <w:r w:rsidRPr="00D63DA4">
        <w:rPr>
          <w:lang w:val="en-GB"/>
        </w:rPr>
        <w:t xml:space="preserve"> above, at § 139; ECtHR, </w:t>
      </w:r>
      <w:r w:rsidRPr="00D63DA4">
        <w:rPr>
          <w:i/>
          <w:lang w:val="en-GB"/>
        </w:rPr>
        <w:t>Palić v. Bosnia and Herzegovina,</w:t>
      </w:r>
      <w:r w:rsidRPr="00D63DA4">
        <w:rPr>
          <w:lang w:val="en-GB"/>
        </w:rPr>
        <w:t xml:space="preserve"> cited in § </w:t>
      </w:r>
      <w:r w:rsidRPr="00D63DA4">
        <w:fldChar w:fldCharType="begin"/>
      </w:r>
      <w:r w:rsidRPr="00D63DA4">
        <w:rPr>
          <w:lang w:val="en-GB"/>
        </w:rPr>
        <w:instrText xml:space="preserve"> REF _Ref366239979 \r \h </w:instrText>
      </w:r>
      <w:r w:rsidR="00D63DA4" w:rsidRPr="00D63DA4">
        <w:instrText xml:space="preserve"> \* MERGEFORMAT </w:instrText>
      </w:r>
      <w:r w:rsidRPr="00D63DA4">
        <w:fldChar w:fldCharType="separate"/>
      </w:r>
      <w:r w:rsidR="00D90199">
        <w:rPr>
          <w:lang w:val="en-GB"/>
        </w:rPr>
        <w:t>67</w:t>
      </w:r>
      <w:r w:rsidRPr="00D63DA4">
        <w:fldChar w:fldCharType="end"/>
      </w:r>
      <w:r w:rsidRPr="00D63DA4">
        <w:rPr>
          <w:lang w:val="en-GB"/>
        </w:rPr>
        <w:t xml:space="preserve"> above, at § 74; ECtHR, </w:t>
      </w:r>
      <w:r w:rsidRPr="00D63DA4">
        <w:rPr>
          <w:i/>
          <w:lang w:val="en-GB"/>
        </w:rPr>
        <w:t>Alpatu Israilova v. Russia</w:t>
      </w:r>
      <w:r w:rsidRPr="00D63DA4">
        <w:rPr>
          <w:lang w:val="en-GB"/>
        </w:rPr>
        <w:t xml:space="preserve">, no. 15438/05, judgment of 14 March 2013, § 69; see also HRAP, </w:t>
      </w:r>
      <w:r w:rsidRPr="00D63DA4">
        <w:rPr>
          <w:i/>
          <w:lang w:val="en-GB"/>
        </w:rPr>
        <w:t>Zdravković</w:t>
      </w:r>
      <w:r w:rsidRPr="00D63DA4">
        <w:rPr>
          <w:lang w:val="en-GB"/>
        </w:rPr>
        <w:t xml:space="preserve">, no. 46/08, decision of 17 April 2009, § 41). “It is especially in respect of the latter that a relative may claim directly to be a victim of the authorities’ conduct” (see, among others, ECtHR, </w:t>
      </w:r>
      <w:r w:rsidRPr="00D63DA4">
        <w:rPr>
          <w:i/>
          <w:lang w:val="en-GB"/>
        </w:rPr>
        <w:t>Er and Others v. Turkey</w:t>
      </w:r>
      <w:r w:rsidRPr="00D63DA4">
        <w:rPr>
          <w:lang w:val="en-GB"/>
        </w:rPr>
        <w:t>, no. 23016/04, judgment of 31 July 2012, § 94).</w:t>
      </w:r>
      <w:bookmarkEnd w:id="80"/>
    </w:p>
    <w:p w:rsidR="00BF3546" w:rsidRPr="00D63DA4" w:rsidRDefault="00BF3546" w:rsidP="00BF3546">
      <w:pPr>
        <w:suppressAutoHyphens/>
        <w:autoSpaceDE w:val="0"/>
        <w:ind w:left="360"/>
        <w:jc w:val="both"/>
        <w:rPr>
          <w:lang w:val="en-GB"/>
        </w:rPr>
      </w:pPr>
    </w:p>
    <w:p w:rsidR="00BF3546" w:rsidRPr="00D63DA4" w:rsidRDefault="00BF3546" w:rsidP="00E628EF">
      <w:pPr>
        <w:numPr>
          <w:ilvl w:val="0"/>
          <w:numId w:val="2"/>
        </w:numPr>
        <w:tabs>
          <w:tab w:val="clear" w:pos="360"/>
          <w:tab w:val="left" w:pos="709"/>
        </w:tabs>
        <w:suppressAutoHyphens/>
        <w:autoSpaceDE w:val="0"/>
        <w:ind w:left="450" w:hanging="450"/>
        <w:jc w:val="both"/>
        <w:rPr>
          <w:lang w:val="en-GB"/>
        </w:rPr>
      </w:pPr>
      <w:bookmarkStart w:id="81" w:name="_Ref374623316"/>
      <w:r w:rsidRPr="00D63DA4">
        <w:rPr>
          <w:lang w:val="en-GB"/>
        </w:rPr>
        <w:t xml:space="preserve">Lastly, where  </w:t>
      </w:r>
      <w:r w:rsidRPr="00D63DA4">
        <w:rPr>
          <w:bCs/>
        </w:rPr>
        <w:t>mental</w:t>
      </w:r>
      <w:r w:rsidRPr="00D63DA4">
        <w:rPr>
          <w:lang w:val="en-GB"/>
        </w:rPr>
        <w:t xml:space="preserve"> suffering caused by the authorities’ reactions to the disappearance is at stake, the alleged violation is contrary to the substantive element of Article 3 of the ECHR, not its procedural element, as is the case with regard to Article 2 (ECtHR, </w:t>
      </w:r>
      <w:r w:rsidRPr="00D63DA4">
        <w:rPr>
          <w:i/>
          <w:lang w:val="en-GB"/>
        </w:rPr>
        <w:t>Gelayevy v. Russia</w:t>
      </w:r>
      <w:r w:rsidRPr="00D63DA4">
        <w:rPr>
          <w:lang w:val="en-GB"/>
        </w:rPr>
        <w:t>, no. 20216/07, judgment of 15 July 2010, §§ 147-148).</w:t>
      </w:r>
      <w:bookmarkEnd w:id="81"/>
    </w:p>
    <w:p w:rsidR="00BF3546" w:rsidRPr="00D63DA4" w:rsidRDefault="00BF3546" w:rsidP="00BF3546">
      <w:pPr>
        <w:pStyle w:val="ListParagraph1"/>
        <w:ind w:left="0"/>
        <w:jc w:val="both"/>
        <w:rPr>
          <w:b/>
        </w:rPr>
      </w:pPr>
    </w:p>
    <w:p w:rsidR="00BF3546" w:rsidRPr="00D63DA4" w:rsidRDefault="00BF3546" w:rsidP="00BF3546">
      <w:pPr>
        <w:pStyle w:val="ListParagraph1"/>
        <w:numPr>
          <w:ilvl w:val="0"/>
          <w:numId w:val="15"/>
        </w:numPr>
        <w:jc w:val="both"/>
        <w:rPr>
          <w:b/>
        </w:rPr>
      </w:pPr>
      <w:r w:rsidRPr="00D63DA4">
        <w:rPr>
          <w:b/>
        </w:rPr>
        <w:t xml:space="preserve">The Parties’ submissions </w:t>
      </w:r>
    </w:p>
    <w:p w:rsidR="00BF3546" w:rsidRPr="00D63DA4" w:rsidRDefault="00BF3546" w:rsidP="00BF3546">
      <w:pPr>
        <w:suppressAutoHyphens/>
        <w:autoSpaceDE w:val="0"/>
        <w:ind w:left="360"/>
        <w:jc w:val="both"/>
        <w:rPr>
          <w:lang w:val="en-GB"/>
        </w:rPr>
      </w:pPr>
    </w:p>
    <w:p w:rsidR="00BF3546" w:rsidRPr="00D63DA4" w:rsidRDefault="00BF3546" w:rsidP="00E628EF">
      <w:pPr>
        <w:numPr>
          <w:ilvl w:val="0"/>
          <w:numId w:val="2"/>
        </w:numPr>
        <w:tabs>
          <w:tab w:val="clear" w:pos="360"/>
          <w:tab w:val="left" w:pos="709"/>
        </w:tabs>
        <w:suppressAutoHyphens/>
        <w:autoSpaceDE w:val="0"/>
        <w:ind w:left="450" w:hanging="450"/>
        <w:jc w:val="both"/>
        <w:rPr>
          <w:lang w:val="en-GB"/>
        </w:rPr>
      </w:pPr>
      <w:r w:rsidRPr="00D63DA4">
        <w:rPr>
          <w:lang w:val="en-GB"/>
        </w:rPr>
        <w:t xml:space="preserve">The complainant alleges that the lack of information and certainty surrounding </w:t>
      </w:r>
      <w:r w:rsidRPr="00D63DA4">
        <w:rPr>
          <w:bCs/>
          <w:lang w:val="en-GB"/>
        </w:rPr>
        <w:t>the</w:t>
      </w:r>
      <w:r w:rsidRPr="00D63DA4">
        <w:rPr>
          <w:lang w:val="en-GB"/>
        </w:rPr>
        <w:t xml:space="preserve"> </w:t>
      </w:r>
      <w:r w:rsidRPr="00D63DA4">
        <w:rPr>
          <w:bCs/>
          <w:lang w:val="en-GB"/>
        </w:rPr>
        <w:t>abduction</w:t>
      </w:r>
      <w:r w:rsidR="00D04174" w:rsidRPr="00D63DA4">
        <w:rPr>
          <w:lang w:val="en-GB"/>
        </w:rPr>
        <w:t xml:space="preserve"> and disappearance</w:t>
      </w:r>
      <w:r w:rsidRPr="00D63DA4">
        <w:rPr>
          <w:lang w:val="en-GB"/>
        </w:rPr>
        <w:t xml:space="preserve"> of </w:t>
      </w:r>
      <w:r w:rsidRPr="00D63DA4">
        <w:t>Mr Momir Milenković,</w:t>
      </w:r>
      <w:r w:rsidRPr="00D63DA4">
        <w:rPr>
          <w:lang w:val="en-GB"/>
        </w:rPr>
        <w:t xml:space="preserve"> particularly because of UNMIK’s failure to properly investigate his disappearance, caused mental suffering to him and his family.</w:t>
      </w:r>
    </w:p>
    <w:p w:rsidR="00BF3546" w:rsidRPr="00D63DA4" w:rsidRDefault="00BF3546" w:rsidP="00BF3546">
      <w:pPr>
        <w:pStyle w:val="ListParagraph"/>
        <w:autoSpaceDE w:val="0"/>
        <w:ind w:left="540"/>
        <w:jc w:val="both"/>
        <w:rPr>
          <w:lang w:val="en-GB"/>
        </w:rPr>
      </w:pPr>
    </w:p>
    <w:p w:rsidR="00BF3546" w:rsidRPr="00D63DA4" w:rsidRDefault="00BF3546" w:rsidP="00E628EF">
      <w:pPr>
        <w:numPr>
          <w:ilvl w:val="0"/>
          <w:numId w:val="2"/>
        </w:numPr>
        <w:tabs>
          <w:tab w:val="clear" w:pos="360"/>
          <w:tab w:val="left" w:pos="709"/>
        </w:tabs>
        <w:suppressAutoHyphens/>
        <w:autoSpaceDE w:val="0"/>
        <w:ind w:left="450" w:hanging="450"/>
        <w:jc w:val="both"/>
        <w:rPr>
          <w:lang w:val="en-GB"/>
        </w:rPr>
      </w:pPr>
      <w:bookmarkStart w:id="82" w:name="_Ref374625321"/>
      <w:r w:rsidRPr="00D63DA4">
        <w:rPr>
          <w:lang w:val="en-GB"/>
        </w:rPr>
        <w:t xml:space="preserve">Commenting on this part of the complaint, the SRSG rejects the allegations. He </w:t>
      </w:r>
      <w:bookmarkEnd w:id="82"/>
      <w:r w:rsidRPr="00D63DA4">
        <w:rPr>
          <w:lang w:val="en-GB"/>
        </w:rPr>
        <w:t>stresses, first, that it is not clear to what extent the complainant addressed the authorities for information about the abduction, and, second, that there were neither assertions made by him of any bad faith on the part of UNMIK personnel involved with the matter, nor evidence of any disregard for the seriousness of the matter or the emotions of the complainant and his family emanating from the abduction</w:t>
      </w:r>
      <w:r w:rsidR="00D04174" w:rsidRPr="00D63DA4">
        <w:rPr>
          <w:lang w:val="en-GB"/>
        </w:rPr>
        <w:t xml:space="preserve"> and disappearance</w:t>
      </w:r>
      <w:r w:rsidRPr="00D63DA4">
        <w:rPr>
          <w:lang w:val="en-GB"/>
        </w:rPr>
        <w:t xml:space="preserve"> of </w:t>
      </w:r>
      <w:r w:rsidRPr="00D63DA4">
        <w:t>Mr Momir Milenković.</w:t>
      </w:r>
    </w:p>
    <w:p w:rsidR="00BF3546" w:rsidRPr="00D63DA4" w:rsidRDefault="00BF3546" w:rsidP="00BF3546">
      <w:pPr>
        <w:pStyle w:val="ListParagraph"/>
        <w:autoSpaceDE w:val="0"/>
        <w:ind w:left="450"/>
        <w:jc w:val="both"/>
        <w:rPr>
          <w:lang w:val="en-GB"/>
        </w:rPr>
      </w:pPr>
    </w:p>
    <w:p w:rsidR="00BF3546" w:rsidRPr="00D63DA4" w:rsidRDefault="00BF3546" w:rsidP="00E628EF">
      <w:pPr>
        <w:numPr>
          <w:ilvl w:val="0"/>
          <w:numId w:val="2"/>
        </w:numPr>
        <w:tabs>
          <w:tab w:val="clear" w:pos="360"/>
          <w:tab w:val="left" w:pos="709"/>
        </w:tabs>
        <w:suppressAutoHyphens/>
        <w:autoSpaceDE w:val="0"/>
        <w:ind w:left="450" w:hanging="450"/>
        <w:jc w:val="both"/>
        <w:rPr>
          <w:lang w:val="en-GB"/>
        </w:rPr>
      </w:pPr>
      <w:r w:rsidRPr="00D63DA4">
        <w:rPr>
          <w:lang w:val="en-GB"/>
        </w:rPr>
        <w:t>The SRSG concludes that the understandable and apparent mental anguish and suffering of the complainant cannot be attributed to UNMIK, but it is “rather a result of inherent suffering caused by the disappearance of a close family member.” Thus, according to the SRSG, the complainant’s suffering lacks a character distinct from the emotional distress which may be regarded as inevitably caused to the relatives of a victim of a serious human rights violation.</w:t>
      </w:r>
    </w:p>
    <w:p w:rsidR="00BF3546" w:rsidRPr="00D63DA4" w:rsidRDefault="00BF3546" w:rsidP="00BF3546">
      <w:pPr>
        <w:pStyle w:val="ListParagraph"/>
        <w:rPr>
          <w:lang w:val="en-GB"/>
        </w:rPr>
      </w:pPr>
    </w:p>
    <w:p w:rsidR="00BF3546" w:rsidRPr="00D63DA4" w:rsidRDefault="00BF3546" w:rsidP="00E628EF">
      <w:pPr>
        <w:numPr>
          <w:ilvl w:val="0"/>
          <w:numId w:val="2"/>
        </w:numPr>
        <w:tabs>
          <w:tab w:val="clear" w:pos="360"/>
          <w:tab w:val="left" w:pos="709"/>
        </w:tabs>
        <w:suppressAutoHyphens/>
        <w:autoSpaceDE w:val="0"/>
        <w:ind w:left="450" w:hanging="450"/>
        <w:jc w:val="both"/>
        <w:rPr>
          <w:lang w:val="en-GB"/>
        </w:rPr>
      </w:pPr>
      <w:r w:rsidRPr="00D63DA4">
        <w:rPr>
          <w:lang w:val="en-GB"/>
        </w:rPr>
        <w:t xml:space="preserve">Therefore, the SRSG requests the Panel to reject this part of the complaint, as there has not been a violation of Article 3 of the ECHR. </w:t>
      </w:r>
    </w:p>
    <w:p w:rsidR="00BF3546" w:rsidRPr="00D63DA4" w:rsidRDefault="00BF3546" w:rsidP="00BF3546">
      <w:pPr>
        <w:pStyle w:val="ListParagraph1"/>
        <w:ind w:left="0"/>
        <w:jc w:val="both"/>
        <w:rPr>
          <w:b/>
        </w:rPr>
      </w:pPr>
    </w:p>
    <w:p w:rsidR="00BF3546" w:rsidRPr="00D63DA4" w:rsidRDefault="00BF3546" w:rsidP="00BF3546">
      <w:pPr>
        <w:pStyle w:val="ListParagraph1"/>
        <w:numPr>
          <w:ilvl w:val="0"/>
          <w:numId w:val="15"/>
        </w:numPr>
        <w:jc w:val="both"/>
        <w:rPr>
          <w:b/>
        </w:rPr>
      </w:pPr>
      <w:r w:rsidRPr="00D63DA4">
        <w:rPr>
          <w:b/>
        </w:rPr>
        <w:lastRenderedPageBreak/>
        <w:t xml:space="preserve">The Panel’s assessment </w:t>
      </w:r>
    </w:p>
    <w:p w:rsidR="00BF3546" w:rsidRPr="00D63DA4" w:rsidRDefault="00BF3546" w:rsidP="00BF3546">
      <w:pPr>
        <w:pStyle w:val="ListParagraph1"/>
        <w:ind w:left="0"/>
        <w:jc w:val="both"/>
        <w:rPr>
          <w:b/>
        </w:rPr>
      </w:pPr>
    </w:p>
    <w:p w:rsidR="00BF3546" w:rsidRPr="00D63DA4" w:rsidRDefault="00BF3546" w:rsidP="00BF3546">
      <w:pPr>
        <w:pStyle w:val="ListParagraph1"/>
        <w:numPr>
          <w:ilvl w:val="0"/>
          <w:numId w:val="14"/>
        </w:numPr>
        <w:ind w:left="360"/>
        <w:jc w:val="both"/>
        <w:rPr>
          <w:b/>
        </w:rPr>
      </w:pPr>
      <w:r w:rsidRPr="00D63DA4">
        <w:rPr>
          <w:i/>
          <w:color w:val="000000"/>
          <w:lang w:eastAsia="en-US"/>
        </w:rPr>
        <w:t xml:space="preserve"> General principles concerning the obligation under Article 3</w:t>
      </w:r>
    </w:p>
    <w:p w:rsidR="00BF3546" w:rsidRPr="00D63DA4" w:rsidRDefault="00BF3546" w:rsidP="00BF3546">
      <w:pPr>
        <w:autoSpaceDE w:val="0"/>
        <w:jc w:val="both"/>
        <w:rPr>
          <w:lang w:val="en-GB" w:eastAsia="ar-SA"/>
        </w:rPr>
      </w:pPr>
    </w:p>
    <w:p w:rsidR="00BF3546" w:rsidRPr="00D63DA4" w:rsidRDefault="00BF3546" w:rsidP="00E628EF">
      <w:pPr>
        <w:numPr>
          <w:ilvl w:val="0"/>
          <w:numId w:val="2"/>
        </w:numPr>
        <w:tabs>
          <w:tab w:val="clear" w:pos="360"/>
          <w:tab w:val="left" w:pos="709"/>
        </w:tabs>
        <w:suppressAutoHyphens/>
        <w:autoSpaceDE w:val="0"/>
        <w:ind w:left="450" w:hanging="450"/>
        <w:jc w:val="both"/>
        <w:rPr>
          <w:lang w:val="en-GB"/>
        </w:rPr>
      </w:pPr>
      <w:r w:rsidRPr="00D63DA4">
        <w:rPr>
          <w:lang w:val="en-GB"/>
        </w:rPr>
        <w:t xml:space="preserve">Like Article 2, Article 3 of the ECHR enshrines one of the most fundamental values in democratic societies (ECtHR, </w:t>
      </w:r>
      <w:r w:rsidRPr="00D63DA4">
        <w:rPr>
          <w:i/>
          <w:lang w:val="en-GB"/>
        </w:rPr>
        <w:t>Talat Tepe v. Turkey</w:t>
      </w:r>
      <w:r w:rsidRPr="00D63DA4">
        <w:rPr>
          <w:lang w:val="en-GB"/>
        </w:rPr>
        <w:t xml:space="preserve">, no. 31247/96, 21 December 2004, § 47; ECtHR [GC], </w:t>
      </w:r>
      <w:r w:rsidRPr="00D63DA4">
        <w:rPr>
          <w:i/>
          <w:lang w:val="en-GB"/>
        </w:rPr>
        <w:t>Ilaşcu and Others v. Moldova and Russia</w:t>
      </w:r>
      <w:r w:rsidRPr="00D63DA4">
        <w:rPr>
          <w:lang w:val="en-GB"/>
        </w:rPr>
        <w:t xml:space="preserve">, no. 48787/99, judgment of 8 July 2004, </w:t>
      </w:r>
      <w:r w:rsidRPr="00D63DA4">
        <w:rPr>
          <w:i/>
          <w:lang w:val="en-GB"/>
        </w:rPr>
        <w:t>ECHR</w:t>
      </w:r>
      <w:r w:rsidRPr="00D63DA4">
        <w:rPr>
          <w:lang w:val="en-GB"/>
        </w:rPr>
        <w:t>, 2004-VII, § 424). As confirmed by the absolute nature conferred on it by Article 15 § 2 of the ECHR, the prohibition of torture and inhuman and degrading treatment still applies even in most difficult circumstances.</w:t>
      </w:r>
    </w:p>
    <w:p w:rsidR="00BF3546" w:rsidRPr="00D63DA4" w:rsidRDefault="00BF3546" w:rsidP="00BF3546">
      <w:pPr>
        <w:suppressAutoHyphens/>
        <w:autoSpaceDE w:val="0"/>
        <w:ind w:left="360"/>
        <w:jc w:val="both"/>
        <w:rPr>
          <w:lang w:val="en-GB"/>
        </w:rPr>
      </w:pPr>
    </w:p>
    <w:p w:rsidR="00BF3546" w:rsidRPr="00D63DA4" w:rsidRDefault="00BF3546" w:rsidP="00E628EF">
      <w:pPr>
        <w:numPr>
          <w:ilvl w:val="0"/>
          <w:numId w:val="2"/>
        </w:numPr>
        <w:tabs>
          <w:tab w:val="clear" w:pos="360"/>
          <w:tab w:val="left" w:pos="709"/>
        </w:tabs>
        <w:suppressAutoHyphens/>
        <w:autoSpaceDE w:val="0"/>
        <w:ind w:left="450" w:hanging="450"/>
        <w:jc w:val="both"/>
        <w:rPr>
          <w:lang w:val="en-GB"/>
        </w:rPr>
      </w:pPr>
      <w:r w:rsidRPr="00D63DA4">
        <w:rPr>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D63DA4">
        <w:rPr>
          <w:i/>
          <w:color w:val="000000"/>
          <w:lang w:val="en-GB"/>
        </w:rPr>
        <w:t xml:space="preserve">Velásquez-Rodríguez </w:t>
      </w:r>
      <w:r w:rsidRPr="00D63DA4">
        <w:rPr>
          <w:i/>
          <w:lang w:val="en-GB"/>
        </w:rPr>
        <w:t>v. Honduras</w:t>
      </w:r>
      <w:r w:rsidRPr="00D63DA4">
        <w:rPr>
          <w:lang w:val="en-GB"/>
        </w:rPr>
        <w:t xml:space="preserve">, cited in § </w:t>
      </w:r>
      <w:r w:rsidRPr="00D63DA4">
        <w:fldChar w:fldCharType="begin"/>
      </w:r>
      <w:r w:rsidRPr="00D63DA4">
        <w:rPr>
          <w:lang w:val="en-GB"/>
        </w:rPr>
        <w:instrText xml:space="preserve"> REF _Ref398135805 \r \h </w:instrText>
      </w:r>
      <w:r w:rsidR="00D63DA4" w:rsidRPr="00D63DA4">
        <w:instrText xml:space="preserve"> \* MERGEFORMAT </w:instrText>
      </w:r>
      <w:r w:rsidRPr="00D63DA4">
        <w:fldChar w:fldCharType="separate"/>
      </w:r>
      <w:r w:rsidR="00D90199">
        <w:rPr>
          <w:lang w:val="en-GB"/>
        </w:rPr>
        <w:t>63</w:t>
      </w:r>
      <w:r w:rsidRPr="00D63DA4">
        <w:fldChar w:fldCharType="end"/>
      </w:r>
      <w:r w:rsidRPr="00D63DA4">
        <w:rPr>
          <w:lang w:val="en-GB"/>
        </w:rPr>
        <w:t xml:space="preserve"> above, at § 150)</w:t>
      </w:r>
    </w:p>
    <w:p w:rsidR="00BF3546" w:rsidRPr="00D63DA4" w:rsidRDefault="00BF3546" w:rsidP="00BF3546">
      <w:pPr>
        <w:pStyle w:val="ListParagraph"/>
        <w:rPr>
          <w:lang w:val="en-GB"/>
        </w:rPr>
      </w:pPr>
    </w:p>
    <w:p w:rsidR="00BF3546" w:rsidRPr="00D63DA4" w:rsidRDefault="00BF3546" w:rsidP="00E628EF">
      <w:pPr>
        <w:numPr>
          <w:ilvl w:val="0"/>
          <w:numId w:val="2"/>
        </w:numPr>
        <w:tabs>
          <w:tab w:val="clear" w:pos="360"/>
          <w:tab w:val="left" w:pos="709"/>
        </w:tabs>
        <w:suppressAutoHyphens/>
        <w:autoSpaceDE w:val="0"/>
        <w:ind w:left="450" w:hanging="450"/>
        <w:jc w:val="both"/>
        <w:rPr>
          <w:lang w:val="en-GB"/>
        </w:rPr>
      </w:pPr>
      <w:r w:rsidRPr="00D63DA4">
        <w:rPr>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BF3546" w:rsidRPr="00D63DA4" w:rsidRDefault="00BF3546" w:rsidP="00BF3546">
      <w:pPr>
        <w:pStyle w:val="ListParagraph"/>
        <w:rPr>
          <w:lang w:val="en-GB"/>
        </w:rPr>
      </w:pPr>
    </w:p>
    <w:p w:rsidR="00BF3546" w:rsidRPr="00D63DA4" w:rsidRDefault="00BF3546" w:rsidP="00E628EF">
      <w:pPr>
        <w:numPr>
          <w:ilvl w:val="0"/>
          <w:numId w:val="2"/>
        </w:numPr>
        <w:tabs>
          <w:tab w:val="clear" w:pos="360"/>
          <w:tab w:val="left" w:pos="709"/>
        </w:tabs>
        <w:suppressAutoHyphens/>
        <w:autoSpaceDE w:val="0"/>
        <w:ind w:left="450" w:hanging="450"/>
        <w:jc w:val="both"/>
        <w:rPr>
          <w:lang w:val="en-GB"/>
        </w:rPr>
      </w:pPr>
      <w:r w:rsidRPr="00D63DA4">
        <w:rPr>
          <w:lang w:val="en-GB"/>
        </w:rPr>
        <w:t xml:space="preserve">The HRC has also recognised disappearances as a serious violation of human rights. In its decision of 21 July 1983, in the case </w:t>
      </w:r>
      <w:r w:rsidRPr="00D63DA4">
        <w:rPr>
          <w:i/>
          <w:lang w:val="en-GB"/>
        </w:rPr>
        <w:t>Quinteros v. Urugay</w:t>
      </w:r>
      <w:r w:rsidRPr="00D63DA4">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D63DA4">
        <w:rPr>
          <w:i/>
          <w:lang w:val="en-GB"/>
        </w:rPr>
        <w:t xml:space="preserve">Mojica v. </w:t>
      </w:r>
      <w:r w:rsidRPr="00E628EF">
        <w:rPr>
          <w:lang w:val="en-GB"/>
        </w:rPr>
        <w:t>Dominican</w:t>
      </w:r>
      <w:r w:rsidRPr="00D63DA4">
        <w:rPr>
          <w:i/>
          <w:lang w:val="en-GB"/>
        </w:rPr>
        <w:t xml:space="preserve"> Republic</w:t>
      </w:r>
      <w:r w:rsidRPr="00D63DA4">
        <w:rPr>
          <w:lang w:val="en-GB"/>
        </w:rPr>
        <w:t xml:space="preserve">, the HRC has deemed that “the disappearance of persons is inseparably linked to treatment that amounts to a violation of article 7 </w:t>
      </w:r>
      <w:r w:rsidRPr="00D63DA4">
        <w:rPr>
          <w:lang w:val="en-GB"/>
        </w:rPr>
        <w:sym w:font="Symbol" w:char="F05B"/>
      </w:r>
      <w:r w:rsidRPr="00D63DA4">
        <w:rPr>
          <w:lang w:val="en-GB"/>
        </w:rPr>
        <w:t>of the Covenant</w:t>
      </w:r>
      <w:r w:rsidRPr="00D63DA4">
        <w:rPr>
          <w:lang w:val="en-GB"/>
        </w:rPr>
        <w:sym w:font="Symbol" w:char="F05D"/>
      </w:r>
      <w:r w:rsidRPr="00D63DA4">
        <w:rPr>
          <w:lang w:val="en-GB"/>
        </w:rPr>
        <w:t xml:space="preserve">”, also prohibiting torture, inhumane or degrading treatment and punishment (see HRC, </w:t>
      </w:r>
      <w:r w:rsidRPr="00D63DA4">
        <w:rPr>
          <w:bCs/>
          <w:lang w:val="en-GB"/>
        </w:rPr>
        <w:t xml:space="preserve">Communication No. 449/1991, U.N. Doc. CCPR/C/51/D/449/1991 (1994), </w:t>
      </w:r>
      <w:r w:rsidRPr="00D63DA4">
        <w:rPr>
          <w:lang w:val="en-GB"/>
        </w:rPr>
        <w:t>§ 5.7).</w:t>
      </w:r>
    </w:p>
    <w:p w:rsidR="00BF3546" w:rsidRPr="00D63DA4" w:rsidRDefault="00BF3546" w:rsidP="00BF3546">
      <w:pPr>
        <w:pStyle w:val="ListParagraph"/>
        <w:rPr>
          <w:lang w:val="en-GB"/>
        </w:rPr>
      </w:pPr>
    </w:p>
    <w:p w:rsidR="00BF3546" w:rsidRPr="00D63DA4" w:rsidRDefault="00BF3546" w:rsidP="00E628EF">
      <w:pPr>
        <w:numPr>
          <w:ilvl w:val="0"/>
          <w:numId w:val="2"/>
        </w:numPr>
        <w:tabs>
          <w:tab w:val="clear" w:pos="360"/>
          <w:tab w:val="left" w:pos="709"/>
        </w:tabs>
        <w:suppressAutoHyphens/>
        <w:autoSpaceDE w:val="0"/>
        <w:ind w:left="450" w:hanging="450"/>
        <w:jc w:val="both"/>
        <w:rPr>
          <w:lang w:val="en-GB"/>
        </w:rPr>
      </w:pPr>
      <w:bookmarkStart w:id="83" w:name="_Ref374623221"/>
      <w:r w:rsidRPr="00D63DA4">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D63DA4">
        <w:rPr>
          <w:lang w:val="en-GB"/>
        </w:rPr>
        <w:sym w:font="Symbol" w:char="F05B"/>
      </w:r>
      <w:r w:rsidRPr="00D63DA4">
        <w:rPr>
          <w:lang w:val="en-GB"/>
        </w:rPr>
        <w:t>family member</w:t>
      </w:r>
      <w:r w:rsidRPr="00D63DA4">
        <w:rPr>
          <w:lang w:val="en-GB"/>
        </w:rPr>
        <w:sym w:font="Symbol" w:char="F05D"/>
      </w:r>
      <w:r w:rsidRPr="00D63DA4">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D63DA4">
        <w:rPr>
          <w:i/>
          <w:lang w:val="en-GB"/>
        </w:rPr>
        <w:t xml:space="preserve">Basayeva and Others v. </w:t>
      </w:r>
      <w:r w:rsidRPr="00D63DA4">
        <w:rPr>
          <w:i/>
          <w:lang w:val="en-GB"/>
        </w:rPr>
        <w:lastRenderedPageBreak/>
        <w:t>Russia</w:t>
      </w:r>
      <w:r w:rsidRPr="00D63DA4">
        <w:rPr>
          <w:lang w:val="en-GB"/>
        </w:rPr>
        <w:t xml:space="preserve">, nos. 15441/05 and 20731/04, judgment of 28 May 2009, § 159; ECtHR, </w:t>
      </w:r>
      <w:r w:rsidRPr="00D63DA4">
        <w:rPr>
          <w:i/>
          <w:lang w:val="en-GB"/>
        </w:rPr>
        <w:t>Er and Others v. Turkey</w:t>
      </w:r>
      <w:r w:rsidRPr="00D63DA4">
        <w:rPr>
          <w:lang w:val="en-GB"/>
        </w:rPr>
        <w:t xml:space="preserve">, cited in § </w:t>
      </w:r>
      <w:r w:rsidRPr="00D63DA4">
        <w:fldChar w:fldCharType="begin"/>
      </w:r>
      <w:r w:rsidRPr="00D63DA4">
        <w:instrText xml:space="preserve"> REF _Ref374623030 \r \h  \* MERGEFORMAT </w:instrText>
      </w:r>
      <w:r w:rsidRPr="00D63DA4">
        <w:fldChar w:fldCharType="separate"/>
      </w:r>
      <w:r w:rsidR="00D90199" w:rsidRPr="00D90199">
        <w:rPr>
          <w:lang w:val="en-GB"/>
        </w:rPr>
        <w:t>109</w:t>
      </w:r>
      <w:r w:rsidRPr="00D63DA4">
        <w:fldChar w:fldCharType="end"/>
      </w:r>
      <w:r w:rsidRPr="00D63DA4">
        <w:rPr>
          <w:lang w:val="en-GB"/>
        </w:rPr>
        <w:t xml:space="preserve"> above, at § 94).</w:t>
      </w:r>
      <w:bookmarkEnd w:id="83"/>
    </w:p>
    <w:p w:rsidR="00BF3546" w:rsidRPr="00D63DA4" w:rsidRDefault="00BF3546" w:rsidP="00BF3546">
      <w:pPr>
        <w:suppressAutoHyphens/>
        <w:autoSpaceDE w:val="0"/>
        <w:ind w:left="540"/>
        <w:jc w:val="both"/>
        <w:rPr>
          <w:lang w:val="en-GB"/>
        </w:rPr>
      </w:pPr>
    </w:p>
    <w:p w:rsidR="00BF3546" w:rsidRPr="00D63DA4" w:rsidRDefault="00BF3546" w:rsidP="00E628EF">
      <w:pPr>
        <w:numPr>
          <w:ilvl w:val="0"/>
          <w:numId w:val="2"/>
        </w:numPr>
        <w:tabs>
          <w:tab w:val="clear" w:pos="360"/>
          <w:tab w:val="left" w:pos="709"/>
        </w:tabs>
        <w:suppressAutoHyphens/>
        <w:autoSpaceDE w:val="0"/>
        <w:ind w:left="450" w:hanging="450"/>
        <w:jc w:val="both"/>
        <w:rPr>
          <w:lang w:val="en-GB"/>
        </w:rPr>
      </w:pPr>
      <w:r w:rsidRPr="00D63DA4">
        <w:rPr>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D63DA4">
        <w:rPr>
          <w:i/>
          <w:lang w:val="en-GB"/>
        </w:rPr>
        <w:t>Er and Others v. Turkey,</w:t>
      </w:r>
      <w:r w:rsidRPr="00D63DA4">
        <w:rPr>
          <w:lang w:val="en-GB"/>
        </w:rPr>
        <w:t xml:space="preserve"> cited above, § 96; ECtHR, </w:t>
      </w:r>
      <w:r w:rsidRPr="00D63DA4">
        <w:rPr>
          <w:i/>
          <w:lang w:val="en-GB"/>
        </w:rPr>
        <w:t>Osmanoğlu v. Turkey,</w:t>
      </w:r>
      <w:r w:rsidRPr="00D63DA4">
        <w:rPr>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D63DA4">
        <w:rPr>
          <w:i/>
          <w:lang w:val="en-GB"/>
        </w:rPr>
        <w:t>Salakhov and Islyamova v. Ukraine,</w:t>
      </w:r>
      <w:r w:rsidRPr="00D63DA4">
        <w:rPr>
          <w:lang w:val="en-GB"/>
        </w:rPr>
        <w:t xml:space="preserve"> no. 28005/08, judgment of 14 March 2013, § 201).</w:t>
      </w:r>
    </w:p>
    <w:p w:rsidR="00BF3546" w:rsidRPr="00D63DA4" w:rsidRDefault="00BF3546" w:rsidP="00BF3546">
      <w:pPr>
        <w:suppressAutoHyphens/>
        <w:autoSpaceDE w:val="0"/>
        <w:ind w:left="540"/>
        <w:jc w:val="both"/>
        <w:rPr>
          <w:lang w:val="en-GB"/>
        </w:rPr>
      </w:pPr>
    </w:p>
    <w:p w:rsidR="00BF3546" w:rsidRPr="00D63DA4" w:rsidRDefault="00BF3546" w:rsidP="00E628EF">
      <w:pPr>
        <w:numPr>
          <w:ilvl w:val="0"/>
          <w:numId w:val="2"/>
        </w:numPr>
        <w:tabs>
          <w:tab w:val="clear" w:pos="360"/>
          <w:tab w:val="left" w:pos="709"/>
        </w:tabs>
        <w:suppressAutoHyphens/>
        <w:autoSpaceDE w:val="0"/>
        <w:ind w:left="450" w:hanging="450"/>
        <w:jc w:val="both"/>
        <w:rPr>
          <w:lang w:val="en-GB"/>
        </w:rPr>
      </w:pPr>
      <w:r w:rsidRPr="00D63DA4">
        <w:rPr>
          <w:lang w:val="en-GB"/>
        </w:rPr>
        <w:t xml:space="preserve">The HRC </w:t>
      </w:r>
      <w:r w:rsidRPr="00D63DA4">
        <w:rPr>
          <w:color w:val="000000"/>
          <w:lang w:val="en-GB"/>
        </w:rPr>
        <w:t xml:space="preserve">has also </w:t>
      </w:r>
      <w:r w:rsidRPr="00D63DA4">
        <w:rPr>
          <w:lang w:val="en-GB"/>
        </w:rPr>
        <w:t>considered</w:t>
      </w:r>
      <w:r w:rsidRPr="00D63DA4">
        <w:rPr>
          <w:color w:val="000000"/>
          <w:lang w:val="en-GB"/>
        </w:rPr>
        <w:t xml:space="preserve"> the issue and </w:t>
      </w:r>
      <w:r w:rsidRPr="00D63DA4">
        <w:rPr>
          <w:lang w:val="en-GB"/>
        </w:rPr>
        <w:t>recognised</w:t>
      </w:r>
      <w:r w:rsidRPr="00D63DA4">
        <w:rPr>
          <w:color w:val="000000"/>
          <w:lang w:val="en-GB"/>
        </w:rPr>
        <w:t xml:space="preserve"> family members of disappeared or missing persons as victims of a violation of Article 7 of the Covenant: parents (</w:t>
      </w:r>
      <w:r w:rsidRPr="00D63DA4">
        <w:rPr>
          <w:i/>
          <w:color w:val="000000"/>
          <w:lang w:val="en-GB"/>
        </w:rPr>
        <w:t>Boucherf v. Algeria</w:t>
      </w:r>
      <w:r w:rsidRPr="00D63DA4">
        <w:rPr>
          <w:color w:val="000000"/>
          <w:lang w:val="en-GB"/>
        </w:rPr>
        <w:t xml:space="preserve">, </w:t>
      </w:r>
      <w:r w:rsidRPr="00D63DA4">
        <w:rPr>
          <w:bCs/>
          <w:color w:val="000000"/>
          <w:lang w:val="en-GB"/>
        </w:rPr>
        <w:t>Communication No. 1196/2003</w:t>
      </w:r>
      <w:r w:rsidRPr="00D63DA4">
        <w:rPr>
          <w:color w:val="000000"/>
          <w:lang w:val="en-GB"/>
        </w:rPr>
        <w:t>, views of 30 March 2006, § 9.7, CCPR/C/86/D/1196/2003), children (</w:t>
      </w:r>
      <w:r w:rsidRPr="00D63DA4">
        <w:rPr>
          <w:i/>
          <w:color w:val="000000"/>
          <w:lang w:val="en-GB"/>
        </w:rPr>
        <w:t>Zarzi v. Algeria</w:t>
      </w:r>
      <w:r w:rsidRPr="00D63DA4">
        <w:rPr>
          <w:color w:val="000000"/>
          <w:lang w:val="en-GB"/>
        </w:rPr>
        <w:t xml:space="preserve">, </w:t>
      </w:r>
      <w:r w:rsidRPr="00D63DA4">
        <w:rPr>
          <w:bCs/>
          <w:color w:val="000000"/>
          <w:lang w:val="en-GB"/>
        </w:rPr>
        <w:t>Communication No. 1780/2008</w:t>
      </w:r>
      <w:r w:rsidRPr="00D63DA4">
        <w:rPr>
          <w:color w:val="000000"/>
          <w:lang w:val="en-GB"/>
        </w:rPr>
        <w:t xml:space="preserve">, views of 22 March 2011, § 7.6, </w:t>
      </w:r>
      <w:r w:rsidRPr="00D63DA4">
        <w:rPr>
          <w:bCs/>
          <w:color w:val="000000"/>
          <w:lang w:val="en-GB"/>
        </w:rPr>
        <w:t>CCPR/C/101/D/1780/2008</w:t>
      </w:r>
      <w:r w:rsidRPr="00D63DA4">
        <w:rPr>
          <w:color w:val="000000"/>
          <w:lang w:val="en-GB"/>
        </w:rPr>
        <w:t>), siblings (</w:t>
      </w:r>
      <w:r w:rsidRPr="00D63DA4">
        <w:rPr>
          <w:i/>
          <w:color w:val="000000"/>
          <w:lang w:val="en-GB"/>
        </w:rPr>
        <w:t>El Abani v. Libyan Arab Jamahiriya,</w:t>
      </w:r>
      <w:r w:rsidRPr="00D63DA4">
        <w:rPr>
          <w:bCs/>
          <w:color w:val="000000"/>
          <w:lang w:val="en-GB"/>
        </w:rPr>
        <w:t>Communication No. 1640/2007</w:t>
      </w:r>
      <w:r w:rsidRPr="00D63DA4">
        <w:rPr>
          <w:color w:val="000000"/>
          <w:lang w:val="en-GB"/>
        </w:rPr>
        <w:t xml:space="preserve">, views of 26 July 2010, § 7.5, </w:t>
      </w:r>
      <w:r w:rsidRPr="00D63DA4">
        <w:rPr>
          <w:bCs/>
          <w:color w:val="000000"/>
          <w:lang w:val="en-GB"/>
        </w:rPr>
        <w:t>CCPR/C/99/D/1640/2007</w:t>
      </w:r>
      <w:r w:rsidRPr="00D63DA4">
        <w:rPr>
          <w:color w:val="000000"/>
          <w:lang w:val="en-GB"/>
        </w:rPr>
        <w:t>), spouses (</w:t>
      </w:r>
      <w:r w:rsidRPr="00D63DA4">
        <w:rPr>
          <w:i/>
          <w:color w:val="000000"/>
          <w:lang w:val="en-GB"/>
        </w:rPr>
        <w:t>Bousroual v. Algeria</w:t>
      </w:r>
      <w:r w:rsidRPr="00D63DA4">
        <w:rPr>
          <w:color w:val="000000"/>
          <w:lang w:val="en-GB"/>
        </w:rPr>
        <w:t xml:space="preserve">, </w:t>
      </w:r>
      <w:r w:rsidRPr="00D63DA4">
        <w:rPr>
          <w:bCs/>
          <w:color w:val="000000"/>
          <w:lang w:val="en-GB"/>
        </w:rPr>
        <w:t>Communication No. 992/2001, views of</w:t>
      </w:r>
      <w:r w:rsidRPr="00D63DA4">
        <w:rPr>
          <w:color w:val="000000"/>
          <w:lang w:val="en-GB"/>
        </w:rPr>
        <w:t xml:space="preserve"> 30 March 2006, § 9.8, CCPR/C/86/D/992/2001), aunts and uncles (</w:t>
      </w:r>
      <w:r w:rsidRPr="00D63DA4">
        <w:rPr>
          <w:i/>
          <w:lang w:val="en-GB"/>
        </w:rPr>
        <w:t>Benaniza v Algeria,</w:t>
      </w:r>
      <w:r w:rsidRPr="00D63DA4">
        <w:rPr>
          <w:lang w:val="en-GB"/>
        </w:rPr>
        <w:t xml:space="preserve"> views of 26 July 2010, § 9.4, CCPR/C/99/D/1588/2007</w:t>
      </w:r>
      <w:r w:rsidR="009976D1">
        <w:rPr>
          <w:lang w:val="en-GB"/>
        </w:rPr>
        <w:t xml:space="preserve">; </w:t>
      </w:r>
      <w:r w:rsidRPr="00D63DA4">
        <w:rPr>
          <w:i/>
          <w:lang w:val="en-GB"/>
        </w:rPr>
        <w:t>Bashasha</w:t>
      </w:r>
      <w:r w:rsidRPr="00D63DA4">
        <w:rPr>
          <w:i/>
          <w:color w:val="000000"/>
          <w:lang w:val="en-GB"/>
        </w:rPr>
        <w:t xml:space="preserve"> v. Libyan Arab Jamahiriya</w:t>
      </w:r>
      <w:r w:rsidRPr="00D63DA4">
        <w:rPr>
          <w:color w:val="000000"/>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D63DA4">
        <w:rPr>
          <w:i/>
          <w:color w:val="000000"/>
          <w:lang w:val="en-GB"/>
        </w:rPr>
        <w:t>Aboussedra v. Libyan Arab Jamahiriya</w:t>
      </w:r>
      <w:r w:rsidRPr="00D63DA4">
        <w:rPr>
          <w:color w:val="000000"/>
          <w:lang w:val="en-GB"/>
        </w:rPr>
        <w:t xml:space="preserve">, </w:t>
      </w:r>
      <w:r w:rsidRPr="00D63DA4">
        <w:rPr>
          <w:bCs/>
          <w:color w:val="000000"/>
          <w:lang w:val="en-GB"/>
        </w:rPr>
        <w:t>Communication No. 1751/2008,</w:t>
      </w:r>
      <w:r w:rsidRPr="00D63DA4">
        <w:rPr>
          <w:color w:val="000000"/>
          <w:lang w:val="en-GB"/>
        </w:rPr>
        <w:t xml:space="preserve"> views of 25 October 2010, § 7.5, </w:t>
      </w:r>
      <w:r w:rsidRPr="00D63DA4">
        <w:rPr>
          <w:bCs/>
          <w:color w:val="000000"/>
          <w:lang w:val="en-GB"/>
        </w:rPr>
        <w:t>CCPR/C/100/D/1751/2008</w:t>
      </w:r>
      <w:r w:rsidRPr="00D63DA4">
        <w:rPr>
          <w:color w:val="000000"/>
          <w:lang w:val="en-GB"/>
        </w:rPr>
        <w:t xml:space="preserve">). In the case </w:t>
      </w:r>
      <w:r w:rsidRPr="00D63DA4">
        <w:rPr>
          <w:i/>
          <w:color w:val="000000"/>
          <w:lang w:val="en-GB"/>
        </w:rPr>
        <w:t>Amirov v. Russian Federation</w:t>
      </w:r>
      <w:r w:rsidRPr="00D63DA4">
        <w:rPr>
          <w:color w:val="000000"/>
          <w:lang w:val="en-GB"/>
        </w:rPr>
        <w:t xml:space="preserve"> the Committee observed that “</w:t>
      </w:r>
      <w:r w:rsidRPr="00D63DA4">
        <w:rPr>
          <w:lang w:val="en-GB"/>
        </w:rPr>
        <w:sym w:font="Symbol" w:char="F05B"/>
      </w:r>
      <w:r w:rsidRPr="00D63DA4">
        <w:rPr>
          <w:color w:val="000000"/>
          <w:lang w:val="en-GB"/>
        </w:rPr>
        <w:t>w</w:t>
      </w:r>
      <w:r w:rsidRPr="00D63DA4">
        <w:rPr>
          <w:lang w:val="en-GB"/>
        </w:rPr>
        <w:sym w:font="Symbol" w:char="F05D"/>
      </w:r>
      <w:r w:rsidRPr="00D63DA4">
        <w:rPr>
          <w:color w:val="000000"/>
          <w:lang w:val="en-GB"/>
        </w:rPr>
        <w:t>ithout wishing to spell out all the circumstances of indirect victimisation, the Committee considers that the failure</w:t>
      </w:r>
      <w:r w:rsidRPr="00D63DA4">
        <w:rPr>
          <w:lang w:val="en-GB"/>
        </w:rPr>
        <w:t xml:space="preserv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led to the above findings of violations of articles 6 and 7, read together with article 2, paragraph 3. The Committee considers that, taken together, the circumstances require the Committee to conclude that the author's own rights under article 7 have also been </w:t>
      </w:r>
      <w:r w:rsidRPr="00D63DA4">
        <w:rPr>
          <w:color w:val="000000"/>
          <w:lang w:val="en-GB"/>
        </w:rPr>
        <w:t xml:space="preserve">violated” (HRC, </w:t>
      </w:r>
      <w:r w:rsidRPr="00D63DA4">
        <w:rPr>
          <w:i/>
          <w:lang w:val="en-GB"/>
        </w:rPr>
        <w:t>Amirov v. Russian Federation</w:t>
      </w:r>
      <w:r w:rsidRPr="00D63DA4">
        <w:rPr>
          <w:color w:val="000000"/>
          <w:lang w:val="en-GB"/>
        </w:rPr>
        <w:t xml:space="preserve">, cited in </w:t>
      </w:r>
      <w:r w:rsidRPr="00D63DA4">
        <w:rPr>
          <w:lang w:val="en-GB"/>
        </w:rPr>
        <w:t xml:space="preserve">§ </w:t>
      </w:r>
      <w:r w:rsidRPr="00D63DA4">
        <w:fldChar w:fldCharType="begin"/>
      </w:r>
      <w:r w:rsidRPr="00D63DA4">
        <w:rPr>
          <w:lang w:val="en-GB"/>
        </w:rPr>
        <w:instrText xml:space="preserve"> REF _Ref398194357 \r \h </w:instrText>
      </w:r>
      <w:r w:rsidR="00D63DA4" w:rsidRPr="00D63DA4">
        <w:instrText xml:space="preserve"> \* MERGEFORMAT </w:instrText>
      </w:r>
      <w:r w:rsidRPr="00D63DA4">
        <w:fldChar w:fldCharType="separate"/>
      </w:r>
      <w:r w:rsidR="00D90199">
        <w:rPr>
          <w:lang w:val="en-GB"/>
        </w:rPr>
        <w:t>79</w:t>
      </w:r>
      <w:r w:rsidRPr="00D63DA4">
        <w:fldChar w:fldCharType="end"/>
      </w:r>
      <w:r w:rsidRPr="00D63DA4">
        <w:rPr>
          <w:lang w:val="en-GB"/>
        </w:rPr>
        <w:t xml:space="preserve"> above, at </w:t>
      </w:r>
      <w:r w:rsidRPr="00D63DA4">
        <w:rPr>
          <w:color w:val="000000"/>
          <w:lang w:val="en-GB"/>
        </w:rPr>
        <w:t>§ 11.7).</w:t>
      </w:r>
    </w:p>
    <w:p w:rsidR="00BF3546" w:rsidRPr="00D63DA4" w:rsidRDefault="00BF3546" w:rsidP="00BF3546">
      <w:pPr>
        <w:suppressAutoHyphens/>
        <w:autoSpaceDE w:val="0"/>
        <w:ind w:left="540"/>
        <w:jc w:val="both"/>
        <w:rPr>
          <w:lang w:val="en-GB"/>
        </w:rPr>
      </w:pPr>
    </w:p>
    <w:p w:rsidR="00BF3546" w:rsidRPr="00D63DA4" w:rsidRDefault="00BF3546" w:rsidP="00E628EF">
      <w:pPr>
        <w:numPr>
          <w:ilvl w:val="0"/>
          <w:numId w:val="2"/>
        </w:numPr>
        <w:tabs>
          <w:tab w:val="clear" w:pos="360"/>
          <w:tab w:val="left" w:pos="709"/>
        </w:tabs>
        <w:suppressAutoHyphens/>
        <w:autoSpaceDE w:val="0"/>
        <w:ind w:left="450" w:hanging="450"/>
        <w:jc w:val="both"/>
        <w:rPr>
          <w:lang w:val="en-GB"/>
        </w:rPr>
      </w:pPr>
      <w:r w:rsidRPr="00D63DA4">
        <w:rPr>
          <w:lang w:val="en-GB"/>
        </w:rPr>
        <w:lastRenderedPageBreak/>
        <w:t xml:space="preserve">The Panel also takes into account that according to the European Court, the analysis of the authorities’ </w:t>
      </w:r>
      <w:r w:rsidRPr="00E628EF">
        <w:rPr>
          <w:bCs/>
          <w:color w:val="000000"/>
          <w:lang w:val="en-GB"/>
        </w:rPr>
        <w:t>reaction</w:t>
      </w:r>
      <w:r w:rsidRPr="00D63DA4">
        <w:rPr>
          <w:lang w:val="en-GB"/>
        </w:rPr>
        <w:t xml:space="preserve">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ECtHR, </w:t>
      </w:r>
      <w:r w:rsidRPr="00D63DA4">
        <w:rPr>
          <w:i/>
          <w:lang w:val="en-GB"/>
        </w:rPr>
        <w:t>Açiș v. Turkey</w:t>
      </w:r>
      <w:r w:rsidRPr="00D63DA4">
        <w:rPr>
          <w:lang w:val="en-GB"/>
        </w:rPr>
        <w:t>, no. 7050/05, judgment of 1 February 2011, § 45).</w:t>
      </w:r>
    </w:p>
    <w:p w:rsidR="00BF3546" w:rsidRPr="00D63DA4" w:rsidRDefault="00BF3546" w:rsidP="00BF3546">
      <w:pPr>
        <w:pStyle w:val="ListParagraph"/>
        <w:rPr>
          <w:lang w:val="en-GB"/>
        </w:rPr>
      </w:pPr>
    </w:p>
    <w:p w:rsidR="00BF3546" w:rsidRPr="00D63DA4" w:rsidRDefault="00BF3546" w:rsidP="00E628EF">
      <w:pPr>
        <w:numPr>
          <w:ilvl w:val="0"/>
          <w:numId w:val="2"/>
        </w:numPr>
        <w:tabs>
          <w:tab w:val="clear" w:pos="360"/>
          <w:tab w:val="left" w:pos="709"/>
        </w:tabs>
        <w:suppressAutoHyphens/>
        <w:autoSpaceDE w:val="0"/>
        <w:ind w:left="450" w:hanging="450"/>
        <w:jc w:val="both"/>
        <w:rPr>
          <w:lang w:val="en-GB"/>
        </w:rPr>
      </w:pPr>
      <w:r w:rsidRPr="00D63DA4">
        <w:rPr>
          <w:lang w:val="en-GB"/>
        </w:rPr>
        <w:t xml:space="preserve">In this respect, it is the position of the European Court that findings under the procedural limb of Article 2 would also be of direct relevance in considering the existence of a violation of Article 3 (see ECtHR, </w:t>
      </w:r>
      <w:r w:rsidRPr="00E628EF">
        <w:rPr>
          <w:bCs/>
          <w:color w:val="000000"/>
          <w:lang w:val="en-GB"/>
        </w:rPr>
        <w:t>Basayeva</w:t>
      </w:r>
      <w:r w:rsidRPr="00D63DA4">
        <w:rPr>
          <w:i/>
          <w:lang w:val="en-GB"/>
        </w:rPr>
        <w:t xml:space="preserve"> and Others v. Russia</w:t>
      </w:r>
      <w:r w:rsidRPr="00D63DA4">
        <w:rPr>
          <w:lang w:val="en-GB"/>
        </w:rPr>
        <w:t xml:space="preserve">, cited in § </w:t>
      </w:r>
      <w:r w:rsidRPr="00D63DA4">
        <w:fldChar w:fldCharType="begin"/>
      </w:r>
      <w:r w:rsidRPr="00D63DA4">
        <w:instrText xml:space="preserve"> REF _Ref374623221 \r \h  \* MERGEFORMAT </w:instrText>
      </w:r>
      <w:r w:rsidRPr="00D63DA4">
        <w:fldChar w:fldCharType="separate"/>
      </w:r>
      <w:r w:rsidR="00D90199" w:rsidRPr="00D90199">
        <w:rPr>
          <w:lang w:val="en-GB"/>
        </w:rPr>
        <w:t>119</w:t>
      </w:r>
      <w:r w:rsidRPr="00D63DA4">
        <w:fldChar w:fldCharType="end"/>
      </w:r>
      <w:r w:rsidRPr="00D63DA4">
        <w:rPr>
          <w:lang w:val="en-GB"/>
        </w:rPr>
        <w:t xml:space="preserve"> above, at § 109; ECtHR, </w:t>
      </w:r>
      <w:r w:rsidRPr="00D63DA4">
        <w:rPr>
          <w:i/>
          <w:lang w:val="en-GB"/>
        </w:rPr>
        <w:t>Gelayevy v. Russia</w:t>
      </w:r>
      <w:r w:rsidRPr="00D63DA4">
        <w:rPr>
          <w:lang w:val="en-GB"/>
        </w:rPr>
        <w:t xml:space="preserve">, cited in § </w:t>
      </w:r>
      <w:r w:rsidRPr="00D63DA4">
        <w:fldChar w:fldCharType="begin"/>
      </w:r>
      <w:r w:rsidRPr="00D63DA4">
        <w:instrText xml:space="preserve"> REF _Ref374623316 \r \h  \* MERGEFORMAT </w:instrText>
      </w:r>
      <w:r w:rsidRPr="00D63DA4">
        <w:fldChar w:fldCharType="separate"/>
      </w:r>
      <w:r w:rsidR="00D90199" w:rsidRPr="00D90199">
        <w:rPr>
          <w:lang w:val="en-GB"/>
        </w:rPr>
        <w:t>110</w:t>
      </w:r>
      <w:r w:rsidRPr="00D63DA4">
        <w:fldChar w:fldCharType="end"/>
      </w:r>
      <w:r w:rsidRPr="00D63DA4">
        <w:rPr>
          <w:lang w:val="en-GB"/>
        </w:rPr>
        <w:t xml:space="preserve"> above, at § 147; ECtHR, </w:t>
      </w:r>
      <w:r w:rsidRPr="00D63DA4">
        <w:rPr>
          <w:i/>
          <w:lang w:val="en-GB"/>
        </w:rPr>
        <w:t>Bazorkina v. Russia</w:t>
      </w:r>
      <w:r w:rsidRPr="00D63DA4">
        <w:rPr>
          <w:lang w:val="en-GB"/>
        </w:rPr>
        <w:t xml:space="preserve">, cited in § </w:t>
      </w:r>
      <w:r w:rsidRPr="00D63DA4">
        <w:fldChar w:fldCharType="begin"/>
      </w:r>
      <w:r w:rsidRPr="00D63DA4">
        <w:rPr>
          <w:lang w:val="en-GB"/>
        </w:rPr>
        <w:instrText xml:space="preserve"> REF _Ref366241459 \r \h </w:instrText>
      </w:r>
      <w:r w:rsidR="00D63DA4" w:rsidRPr="00D63DA4">
        <w:instrText xml:space="preserve"> \* MERGEFORMAT </w:instrText>
      </w:r>
      <w:r w:rsidRPr="00D63DA4">
        <w:fldChar w:fldCharType="separate"/>
      </w:r>
      <w:r w:rsidR="00D90199">
        <w:rPr>
          <w:lang w:val="en-GB"/>
        </w:rPr>
        <w:t>78</w:t>
      </w:r>
      <w:r w:rsidRPr="00D63DA4">
        <w:fldChar w:fldCharType="end"/>
      </w:r>
      <w:r w:rsidRPr="00D63DA4">
        <w:rPr>
          <w:lang w:val="en-GB"/>
        </w:rPr>
        <w:t xml:space="preserve"> above, at § 140).</w:t>
      </w:r>
    </w:p>
    <w:p w:rsidR="00BF3546" w:rsidRPr="00D63DA4" w:rsidRDefault="00BF3546" w:rsidP="00BF3546">
      <w:pPr>
        <w:pStyle w:val="ListParagraph"/>
        <w:rPr>
          <w:lang w:val="en-GB"/>
        </w:rPr>
      </w:pPr>
    </w:p>
    <w:p w:rsidR="00BF3546" w:rsidRPr="00D63DA4" w:rsidRDefault="00BF3546" w:rsidP="00E628EF">
      <w:pPr>
        <w:numPr>
          <w:ilvl w:val="0"/>
          <w:numId w:val="2"/>
        </w:numPr>
        <w:tabs>
          <w:tab w:val="clear" w:pos="360"/>
          <w:tab w:val="left" w:pos="709"/>
        </w:tabs>
        <w:suppressAutoHyphens/>
        <w:autoSpaceDE w:val="0"/>
        <w:ind w:left="450" w:hanging="450"/>
        <w:jc w:val="both"/>
        <w:rPr>
          <w:lang w:val="en-GB"/>
        </w:rPr>
      </w:pPr>
      <w:r w:rsidRPr="00D63DA4">
        <w:rPr>
          <w:lang w:val="en-GB"/>
        </w:rPr>
        <w:t xml:space="preserve">The Panel observes that the European Court has already found violations of Article 3 of the ECHR in </w:t>
      </w:r>
      <w:r w:rsidRPr="00E628EF">
        <w:rPr>
          <w:bCs/>
          <w:color w:val="000000"/>
          <w:lang w:val="en-GB"/>
        </w:rPr>
        <w:t>relation</w:t>
      </w:r>
      <w:r w:rsidRPr="00D63DA4">
        <w:rPr>
          <w:lang w:val="en-GB"/>
        </w:rPr>
        <w:t xml:space="preserve"> to disappearances in which the State itself was found to be responsible for the abduction (see ECtHR, </w:t>
      </w:r>
      <w:r w:rsidRPr="00D63DA4">
        <w:rPr>
          <w:i/>
          <w:lang w:val="en-GB"/>
        </w:rPr>
        <w:t>Luluyev and Others v. Russia</w:t>
      </w:r>
      <w:r w:rsidRPr="00D63DA4">
        <w:rPr>
          <w:lang w:val="en-GB"/>
        </w:rPr>
        <w:t xml:space="preserve">, no. 69480/01, judgment of 9 November 2006, §§ 117-118; ECtHR, </w:t>
      </w:r>
      <w:r w:rsidRPr="00D63DA4">
        <w:rPr>
          <w:i/>
          <w:lang w:val="en-GB"/>
        </w:rPr>
        <w:t>Kukayev v. Russia</w:t>
      </w:r>
      <w:r w:rsidRPr="00D63DA4">
        <w:rPr>
          <w:lang w:val="en-GB"/>
        </w:rPr>
        <w:t>, no. 29361/02, judgment of 15 November 2007, §§ 107-110). However, in contrast, in the case under the Panel’s consideration, in no way is UNMIK implicated in the actual disappearance and UNMIK cannot be held responsible for the applicant’s mental distress caused by the commission of the crime itself.</w:t>
      </w:r>
    </w:p>
    <w:p w:rsidR="00BF3546" w:rsidRPr="00D63DA4" w:rsidRDefault="00BF3546" w:rsidP="00BF3546">
      <w:pPr>
        <w:pStyle w:val="ListParagraph"/>
        <w:rPr>
          <w:lang w:val="en-GB"/>
        </w:rPr>
      </w:pPr>
    </w:p>
    <w:p w:rsidR="00BF3546" w:rsidRPr="00D63DA4" w:rsidRDefault="00BF3546" w:rsidP="00E628EF">
      <w:pPr>
        <w:numPr>
          <w:ilvl w:val="0"/>
          <w:numId w:val="2"/>
        </w:numPr>
        <w:tabs>
          <w:tab w:val="clear" w:pos="360"/>
          <w:tab w:val="left" w:pos="709"/>
        </w:tabs>
        <w:suppressAutoHyphens/>
        <w:autoSpaceDE w:val="0"/>
        <w:ind w:left="450" w:hanging="450"/>
        <w:jc w:val="both"/>
        <w:rPr>
          <w:lang w:val="en-GB"/>
        </w:rPr>
      </w:pPr>
      <w:r w:rsidRPr="00D63DA4">
        <w:rPr>
          <w:lang w:val="en-GB"/>
        </w:rPr>
        <w:t xml:space="preserve">The Panel is mindful that in the absence of a finding of State responsibility for the disappearance, the European Court has ruled that it is not persuaded that the authorities’ conduct, albeit </w:t>
      </w:r>
      <w:r w:rsidRPr="00E628EF">
        <w:rPr>
          <w:bCs/>
          <w:color w:val="000000"/>
          <w:lang w:val="en-GB"/>
        </w:rPr>
        <w:t>negligent</w:t>
      </w:r>
      <w:r w:rsidRPr="00D63DA4">
        <w:rPr>
          <w:lang w:val="en-GB"/>
        </w:rPr>
        <w:t xml:space="preserve"> to the extent that it has breached Article 2 in its procedural aspect, </w:t>
      </w:r>
      <w:r w:rsidRPr="00D63DA4">
        <w:rPr>
          <w:rStyle w:val="sb8d990e2"/>
          <w:lang w:val="en-GB"/>
        </w:rPr>
        <w:t>could have in itself</w:t>
      </w:r>
      <w:r w:rsidRPr="00D63DA4">
        <w:rPr>
          <w:lang w:val="en-GB"/>
        </w:rPr>
        <w:t xml:space="preserve"> caused the applicant mental distress in excess of the minimum level of severity, which is necessary in order to consider treatment as falling within the scope of Article 3 (see, among others, ECtHR, </w:t>
      </w:r>
      <w:r w:rsidRPr="00D63DA4">
        <w:rPr>
          <w:i/>
          <w:lang w:val="en-GB"/>
        </w:rPr>
        <w:t>Tovsultanova v. Russia</w:t>
      </w:r>
      <w:r w:rsidRPr="00D63DA4">
        <w:rPr>
          <w:lang w:val="en-GB"/>
        </w:rPr>
        <w:t xml:space="preserve">, no. 26974/06, judgment of 17 June 2010, § 104; ECtHR, </w:t>
      </w:r>
      <w:r w:rsidRPr="00D63DA4">
        <w:rPr>
          <w:i/>
          <w:lang w:val="en-GB"/>
        </w:rPr>
        <w:t>Shafiyeva v. Russia</w:t>
      </w:r>
      <w:r w:rsidRPr="00D63DA4">
        <w:rPr>
          <w:lang w:val="en-GB"/>
        </w:rPr>
        <w:t>, no. 49379/09, judgment of 3 May 2012, § 103).</w:t>
      </w:r>
    </w:p>
    <w:p w:rsidR="00BF3546" w:rsidRPr="00D63DA4" w:rsidRDefault="00BF3546" w:rsidP="00BF3546">
      <w:pPr>
        <w:pStyle w:val="Default"/>
        <w:tabs>
          <w:tab w:val="left" w:pos="360"/>
          <w:tab w:val="left" w:pos="540"/>
          <w:tab w:val="left" w:pos="720"/>
        </w:tabs>
        <w:jc w:val="both"/>
        <w:rPr>
          <w:lang w:val="en-GB"/>
        </w:rPr>
      </w:pPr>
    </w:p>
    <w:p w:rsidR="00BF3546" w:rsidRPr="00D63DA4" w:rsidRDefault="00BF3546" w:rsidP="00BF3546">
      <w:pPr>
        <w:pStyle w:val="ListParagraph1"/>
        <w:numPr>
          <w:ilvl w:val="0"/>
          <w:numId w:val="14"/>
        </w:numPr>
        <w:ind w:left="360"/>
        <w:jc w:val="both"/>
        <w:rPr>
          <w:i/>
          <w:color w:val="000000"/>
          <w:lang w:eastAsia="en-US"/>
        </w:rPr>
      </w:pPr>
      <w:r w:rsidRPr="00D63DA4">
        <w:rPr>
          <w:i/>
          <w:color w:val="000000"/>
          <w:lang w:eastAsia="en-US"/>
        </w:rPr>
        <w:t>Applicability of Article 3 to the Kosovo context</w:t>
      </w:r>
    </w:p>
    <w:p w:rsidR="00BF3546" w:rsidRPr="00D63DA4" w:rsidRDefault="00BF3546" w:rsidP="00BF3546">
      <w:pPr>
        <w:pStyle w:val="Default"/>
        <w:tabs>
          <w:tab w:val="left" w:pos="360"/>
          <w:tab w:val="left" w:pos="540"/>
          <w:tab w:val="left" w:pos="720"/>
        </w:tabs>
        <w:ind w:hanging="360"/>
        <w:jc w:val="both"/>
        <w:rPr>
          <w:lang w:val="en-GB"/>
        </w:rPr>
      </w:pPr>
    </w:p>
    <w:p w:rsidR="00BF3546" w:rsidRPr="00D63DA4" w:rsidRDefault="00BF3546" w:rsidP="00E628EF">
      <w:pPr>
        <w:numPr>
          <w:ilvl w:val="0"/>
          <w:numId w:val="2"/>
        </w:numPr>
        <w:tabs>
          <w:tab w:val="clear" w:pos="360"/>
          <w:tab w:val="left" w:pos="709"/>
        </w:tabs>
        <w:suppressAutoHyphens/>
        <w:autoSpaceDE w:val="0"/>
        <w:ind w:left="450" w:hanging="450"/>
        <w:jc w:val="both"/>
        <w:rPr>
          <w:lang w:val="en-GB"/>
        </w:rPr>
      </w:pPr>
      <w:r w:rsidRPr="00D63DA4">
        <w:rPr>
          <w:lang w:val="en-GB"/>
        </w:rPr>
        <w:t xml:space="preserve">With regard to the applicability of the above standards to the Kosovo context, the Panel first refers to its view on the same issue with regard to Article 2, developed above (see §§ </w:t>
      </w:r>
      <w:r w:rsidRPr="00D63DA4">
        <w:fldChar w:fldCharType="begin"/>
      </w:r>
      <w:r w:rsidRPr="00D63DA4">
        <w:rPr>
          <w:lang w:val="en-GB"/>
        </w:rPr>
        <w:instrText xml:space="preserve"> REF _Ref366163783 \r \h </w:instrText>
      </w:r>
      <w:r w:rsidR="00D63DA4" w:rsidRPr="00D63DA4">
        <w:instrText xml:space="preserve"> \* MERGEFORMAT </w:instrText>
      </w:r>
      <w:r w:rsidRPr="00D63DA4">
        <w:fldChar w:fldCharType="separate"/>
      </w:r>
      <w:r w:rsidR="00D90199">
        <w:rPr>
          <w:lang w:val="en-GB"/>
        </w:rPr>
        <w:t>73</w:t>
      </w:r>
      <w:r w:rsidRPr="00D63DA4">
        <w:fldChar w:fldCharType="end"/>
      </w:r>
      <w:r w:rsidRPr="00D63DA4">
        <w:rPr>
          <w:lang w:val="en-GB"/>
        </w:rPr>
        <w:t xml:space="preserve"> - </w:t>
      </w:r>
      <w:r w:rsidRPr="00D63DA4">
        <w:fldChar w:fldCharType="begin"/>
      </w:r>
      <w:r w:rsidRPr="00D63DA4">
        <w:rPr>
          <w:lang w:val="en-GB"/>
        </w:rPr>
        <w:instrText xml:space="preserve"> REF _Ref398136135 \r \h </w:instrText>
      </w:r>
      <w:r w:rsidR="00D63DA4" w:rsidRPr="00D63DA4">
        <w:instrText xml:space="preserve"> \* MERGEFORMAT </w:instrText>
      </w:r>
      <w:r w:rsidRPr="00D63DA4">
        <w:fldChar w:fldCharType="separate"/>
      </w:r>
      <w:r w:rsidR="00D90199">
        <w:rPr>
          <w:lang w:val="en-GB"/>
        </w:rPr>
        <w:t>82</w:t>
      </w:r>
      <w:r w:rsidRPr="00D63DA4">
        <w:fldChar w:fldCharType="end"/>
      </w:r>
      <w:r w:rsidRPr="00D63DA4">
        <w:rPr>
          <w:lang w:val="en-GB"/>
        </w:rPr>
        <w:t xml:space="preserve"> above).</w:t>
      </w:r>
    </w:p>
    <w:p w:rsidR="00BF3546" w:rsidRPr="00D63DA4" w:rsidRDefault="00BF3546" w:rsidP="00BF3546">
      <w:pPr>
        <w:pStyle w:val="Default"/>
        <w:ind w:left="540"/>
        <w:jc w:val="both"/>
        <w:rPr>
          <w:lang w:val="en-GB"/>
        </w:rPr>
      </w:pPr>
    </w:p>
    <w:p w:rsidR="00BF3546" w:rsidRPr="00D63DA4" w:rsidRDefault="00BF3546" w:rsidP="00E628EF">
      <w:pPr>
        <w:numPr>
          <w:ilvl w:val="0"/>
          <w:numId w:val="2"/>
        </w:numPr>
        <w:tabs>
          <w:tab w:val="clear" w:pos="360"/>
          <w:tab w:val="left" w:pos="709"/>
        </w:tabs>
        <w:suppressAutoHyphens/>
        <w:autoSpaceDE w:val="0"/>
        <w:ind w:left="450" w:hanging="450"/>
        <w:jc w:val="both"/>
        <w:rPr>
          <w:lang w:val="en-GB"/>
        </w:rPr>
      </w:pPr>
      <w:r w:rsidRPr="00D63DA4">
        <w:rPr>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Pr="00D63DA4">
        <w:fldChar w:fldCharType="begin"/>
      </w:r>
      <w:r w:rsidRPr="00D63DA4">
        <w:rPr>
          <w:lang w:val="en-GB"/>
        </w:rPr>
        <w:instrText xml:space="preserve"> REF _Ref346123767 \r \h </w:instrText>
      </w:r>
      <w:r w:rsidR="00D63DA4" w:rsidRPr="00D63DA4">
        <w:instrText xml:space="preserve"> \* MERGEFORMAT </w:instrText>
      </w:r>
      <w:r w:rsidRPr="00D63DA4">
        <w:fldChar w:fldCharType="separate"/>
      </w:r>
      <w:r w:rsidR="00D90199">
        <w:rPr>
          <w:lang w:val="en-GB"/>
        </w:rPr>
        <w:t>15</w:t>
      </w:r>
      <w:r w:rsidRPr="00D63DA4">
        <w:fldChar w:fldCharType="end"/>
      </w:r>
      <w:r w:rsidRPr="00D63DA4">
        <w:rPr>
          <w:lang w:val="en-GB"/>
        </w:rPr>
        <w:t xml:space="preserve"> above).</w:t>
      </w:r>
    </w:p>
    <w:p w:rsidR="00BF3546" w:rsidRPr="00D63DA4" w:rsidRDefault="00BF3546" w:rsidP="00BF3546">
      <w:pPr>
        <w:pStyle w:val="ListParagraph"/>
        <w:rPr>
          <w:lang w:val="en-GB"/>
        </w:rPr>
      </w:pPr>
    </w:p>
    <w:p w:rsidR="00BF3546" w:rsidRPr="00D63DA4" w:rsidRDefault="00BF3546" w:rsidP="00E628EF">
      <w:pPr>
        <w:numPr>
          <w:ilvl w:val="0"/>
          <w:numId w:val="2"/>
        </w:numPr>
        <w:tabs>
          <w:tab w:val="clear" w:pos="360"/>
          <w:tab w:val="left" w:pos="709"/>
        </w:tabs>
        <w:suppressAutoHyphens/>
        <w:autoSpaceDE w:val="0"/>
        <w:ind w:left="450" w:hanging="450"/>
        <w:jc w:val="both"/>
        <w:rPr>
          <w:lang w:val="en-GB"/>
        </w:rPr>
      </w:pPr>
      <w:r w:rsidRPr="00D63DA4">
        <w:rPr>
          <w:lang w:val="en-GB"/>
        </w:rPr>
        <w:t xml:space="preserve">The Panel again notes that it will not review relevant practices or alleged obstacles to the conduct of effective investigations </w:t>
      </w:r>
      <w:r w:rsidRPr="00D63DA4">
        <w:rPr>
          <w:i/>
          <w:lang w:val="en-GB"/>
        </w:rPr>
        <w:t>in abstracto</w:t>
      </w:r>
      <w:r w:rsidRPr="00D63DA4">
        <w:rPr>
          <w:lang w:val="en-GB"/>
        </w:rPr>
        <w:t>, but only in relation to their specific application to the complaint before it, considering the particular circumstances of the case.</w:t>
      </w:r>
    </w:p>
    <w:p w:rsidR="00BF3546" w:rsidRPr="00D63DA4" w:rsidRDefault="00BF3546" w:rsidP="00BF3546">
      <w:pPr>
        <w:pStyle w:val="ListParagraph"/>
        <w:rPr>
          <w:lang w:val="en-GB"/>
        </w:rPr>
      </w:pPr>
    </w:p>
    <w:p w:rsidR="00BF3546" w:rsidRPr="00D63DA4" w:rsidRDefault="00BF3546" w:rsidP="00E628EF">
      <w:pPr>
        <w:numPr>
          <w:ilvl w:val="0"/>
          <w:numId w:val="2"/>
        </w:numPr>
        <w:tabs>
          <w:tab w:val="clear" w:pos="360"/>
          <w:tab w:val="left" w:pos="709"/>
        </w:tabs>
        <w:suppressAutoHyphens/>
        <w:autoSpaceDE w:val="0"/>
        <w:ind w:left="450" w:hanging="450"/>
        <w:jc w:val="both"/>
        <w:rPr>
          <w:lang w:val="en-GB"/>
        </w:rPr>
      </w:pPr>
      <w:r w:rsidRPr="00D63DA4">
        <w:rPr>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BF3546" w:rsidRPr="00D63DA4" w:rsidRDefault="00BF3546" w:rsidP="00BF3546">
      <w:pPr>
        <w:rPr>
          <w:i/>
          <w:color w:val="000000"/>
          <w:lang w:val="en-GB"/>
        </w:rPr>
      </w:pPr>
    </w:p>
    <w:p w:rsidR="00BF3546" w:rsidRPr="00D63DA4" w:rsidRDefault="00BF3546" w:rsidP="00BF3546">
      <w:pPr>
        <w:pStyle w:val="ListParagraph1"/>
        <w:numPr>
          <w:ilvl w:val="0"/>
          <w:numId w:val="14"/>
        </w:numPr>
        <w:ind w:left="360"/>
        <w:jc w:val="both"/>
      </w:pPr>
      <w:r w:rsidRPr="00D63DA4">
        <w:rPr>
          <w:i/>
          <w:color w:val="000000"/>
          <w:lang w:eastAsia="en-US"/>
        </w:rPr>
        <w:t>Compliance</w:t>
      </w:r>
      <w:r w:rsidRPr="00D63DA4">
        <w:rPr>
          <w:i/>
          <w:color w:val="000000"/>
        </w:rPr>
        <w:t xml:space="preserve"> with Article 3 in the present case</w:t>
      </w:r>
    </w:p>
    <w:p w:rsidR="00BF3546" w:rsidRPr="00D63DA4" w:rsidRDefault="00BF3546" w:rsidP="00BF3546">
      <w:pPr>
        <w:pStyle w:val="ListParagraph"/>
        <w:ind w:left="360"/>
        <w:rPr>
          <w:lang w:val="en-GB"/>
        </w:rPr>
      </w:pPr>
    </w:p>
    <w:p w:rsidR="00BF3546" w:rsidRPr="00D63DA4" w:rsidRDefault="00BF3546" w:rsidP="00E628EF">
      <w:pPr>
        <w:numPr>
          <w:ilvl w:val="0"/>
          <w:numId w:val="2"/>
        </w:numPr>
        <w:tabs>
          <w:tab w:val="clear" w:pos="360"/>
          <w:tab w:val="left" w:pos="709"/>
        </w:tabs>
        <w:suppressAutoHyphens/>
        <w:autoSpaceDE w:val="0"/>
        <w:ind w:left="450" w:hanging="450"/>
        <w:jc w:val="both"/>
        <w:rPr>
          <w:lang w:val="en-GB"/>
        </w:rPr>
      </w:pPr>
      <w:r w:rsidRPr="00D63DA4">
        <w:rPr>
          <w:lang w:val="en-GB"/>
        </w:rPr>
        <w:t>Against this background, the Panel discerns a number of factors in the present case which, taken together, raise the question of violation of Article 3 of the ECHR.</w:t>
      </w:r>
    </w:p>
    <w:p w:rsidR="00BF3546" w:rsidRPr="00D63DA4" w:rsidRDefault="00BF3546" w:rsidP="00BF3546">
      <w:pPr>
        <w:pStyle w:val="Default"/>
        <w:ind w:left="540"/>
        <w:jc w:val="both"/>
        <w:rPr>
          <w:lang w:val="en-GB"/>
        </w:rPr>
      </w:pPr>
    </w:p>
    <w:p w:rsidR="00BF3546" w:rsidRPr="00D63DA4" w:rsidRDefault="00BF3546" w:rsidP="00E628EF">
      <w:pPr>
        <w:numPr>
          <w:ilvl w:val="0"/>
          <w:numId w:val="2"/>
        </w:numPr>
        <w:tabs>
          <w:tab w:val="clear" w:pos="360"/>
          <w:tab w:val="left" w:pos="709"/>
        </w:tabs>
        <w:suppressAutoHyphens/>
        <w:autoSpaceDE w:val="0"/>
        <w:ind w:left="450" w:hanging="450"/>
        <w:jc w:val="both"/>
        <w:rPr>
          <w:lang w:val="en-GB"/>
        </w:rPr>
      </w:pPr>
      <w:r w:rsidRPr="00D63DA4">
        <w:rPr>
          <w:lang w:val="en-GB"/>
        </w:rPr>
        <w:t xml:space="preserve">The Panel notes the proximity of the family ties between the complainant and </w:t>
      </w:r>
      <w:r w:rsidRPr="00D63DA4">
        <w:rPr>
          <w:bCs/>
          <w:lang w:val="en-GB"/>
        </w:rPr>
        <w:t xml:space="preserve">Momir </w:t>
      </w:r>
      <w:r w:rsidRPr="00D63DA4">
        <w:t>Milenković, as they are brothers.</w:t>
      </w:r>
      <w:r w:rsidRPr="00D63DA4">
        <w:rPr>
          <w:lang w:val="en-GB"/>
        </w:rPr>
        <w:t xml:space="preserve"> </w:t>
      </w:r>
    </w:p>
    <w:p w:rsidR="00BF3546" w:rsidRPr="00D63DA4" w:rsidRDefault="00BF3546" w:rsidP="00BF3546">
      <w:pPr>
        <w:autoSpaceDE w:val="0"/>
        <w:jc w:val="both"/>
        <w:rPr>
          <w:lang w:val="en-GB"/>
        </w:rPr>
      </w:pPr>
    </w:p>
    <w:p w:rsidR="00BF3546" w:rsidRPr="00D63DA4" w:rsidRDefault="00BF3546" w:rsidP="00E628EF">
      <w:pPr>
        <w:numPr>
          <w:ilvl w:val="0"/>
          <w:numId w:val="2"/>
        </w:numPr>
        <w:tabs>
          <w:tab w:val="clear" w:pos="360"/>
          <w:tab w:val="left" w:pos="709"/>
        </w:tabs>
        <w:suppressAutoHyphens/>
        <w:autoSpaceDE w:val="0"/>
        <w:ind w:left="450" w:hanging="450"/>
        <w:jc w:val="both"/>
        <w:rPr>
          <w:color w:val="000000" w:themeColor="text1"/>
          <w:lang w:val="en-GB"/>
        </w:rPr>
      </w:pPr>
      <w:r w:rsidRPr="00D63DA4">
        <w:rPr>
          <w:color w:val="000000" w:themeColor="text1"/>
          <w:lang w:val="en-GB"/>
        </w:rPr>
        <w:t xml:space="preserve">The Panel recalls the failure established above in relation to the procedural obligation under Article 2, despite the fact that UNMIK Police had the minimum necessary information to pursue </w:t>
      </w:r>
      <w:r w:rsidRPr="00E628EF">
        <w:rPr>
          <w:lang w:val="en-GB"/>
        </w:rPr>
        <w:t>investigation</w:t>
      </w:r>
      <w:r w:rsidRPr="00D63DA4">
        <w:rPr>
          <w:color w:val="000000" w:themeColor="text1"/>
          <w:lang w:val="en-GB"/>
        </w:rPr>
        <w:t xml:space="preserve"> from the outset. In this respect, the Panel reiterates that from the standpoint of Article 3 it may examine UNMIK’s reactions and attitudes to the complainant in their entirety.</w:t>
      </w:r>
    </w:p>
    <w:p w:rsidR="00BF3546" w:rsidRPr="00D63DA4" w:rsidRDefault="00BF3546" w:rsidP="00BF3546">
      <w:pPr>
        <w:pStyle w:val="ListParagraph"/>
        <w:rPr>
          <w:color w:val="000000" w:themeColor="text1"/>
          <w:lang w:val="en-GB"/>
        </w:rPr>
      </w:pPr>
    </w:p>
    <w:p w:rsidR="00BF3546" w:rsidRPr="00D63DA4" w:rsidRDefault="00BF3546" w:rsidP="00BF3546">
      <w:pPr>
        <w:numPr>
          <w:ilvl w:val="0"/>
          <w:numId w:val="2"/>
        </w:numPr>
        <w:tabs>
          <w:tab w:val="clear" w:pos="360"/>
          <w:tab w:val="left" w:pos="709"/>
        </w:tabs>
        <w:suppressAutoHyphens/>
        <w:autoSpaceDE w:val="0"/>
        <w:ind w:left="450" w:hanging="450"/>
        <w:jc w:val="both"/>
        <w:rPr>
          <w:lang w:val="en-GB"/>
        </w:rPr>
      </w:pPr>
      <w:r w:rsidRPr="00D63DA4">
        <w:rPr>
          <w:lang w:val="en-GB"/>
        </w:rPr>
        <w:t xml:space="preserve">The Panel recalls that two recorded contacts are present in the files provided by UNMIK: </w:t>
      </w:r>
      <w:r w:rsidR="002D73EB" w:rsidRPr="00D63DA4">
        <w:rPr>
          <w:lang w:val="en-GB"/>
        </w:rPr>
        <w:t xml:space="preserve">relating to </w:t>
      </w:r>
      <w:r w:rsidRPr="00D63DA4">
        <w:t xml:space="preserve">when </w:t>
      </w:r>
      <w:r w:rsidR="002D73EB" w:rsidRPr="00D63DA4">
        <w:t xml:space="preserve">UNMIK Police </w:t>
      </w:r>
      <w:r w:rsidRPr="00D63DA4">
        <w:rPr>
          <w:lang w:val="en-GB"/>
        </w:rPr>
        <w:t>collected ante-mortem information from the complainant’s brother and mother in 1999</w:t>
      </w:r>
      <w:r w:rsidRPr="00D63DA4">
        <w:t xml:space="preserve">, and on 17 April 2004 when it </w:t>
      </w:r>
      <w:r w:rsidRPr="00D63DA4">
        <w:rPr>
          <w:lang w:val="en-GB"/>
        </w:rPr>
        <w:t>contacted the complainant’s brother</w:t>
      </w:r>
      <w:r w:rsidR="005949E2" w:rsidRPr="00D63DA4">
        <w:rPr>
          <w:lang w:val="en-GB"/>
        </w:rPr>
        <w:t xml:space="preserve"> Mr Z.M.,</w:t>
      </w:r>
      <w:r w:rsidRPr="00D63DA4">
        <w:rPr>
          <w:lang w:val="en-GB"/>
        </w:rPr>
        <w:t xml:space="preserve"> to update its information about the abduction</w:t>
      </w:r>
      <w:r w:rsidR="00D04174" w:rsidRPr="00D63DA4">
        <w:rPr>
          <w:lang w:val="en-GB"/>
        </w:rPr>
        <w:t xml:space="preserve"> and disappearance</w:t>
      </w:r>
      <w:r w:rsidRPr="00D63DA4">
        <w:rPr>
          <w:lang w:val="en-GB"/>
        </w:rPr>
        <w:t xml:space="preserve"> of </w:t>
      </w:r>
      <w:r w:rsidRPr="00D63DA4">
        <w:t>Mr Momir Milenković</w:t>
      </w:r>
      <w:r w:rsidRPr="00D63DA4">
        <w:rPr>
          <w:color w:val="000000"/>
        </w:rPr>
        <w:t xml:space="preserve"> </w:t>
      </w:r>
      <w:r w:rsidRPr="00D63DA4">
        <w:rPr>
          <w:bCs/>
          <w:lang w:val="en-GB"/>
        </w:rPr>
        <w:t xml:space="preserve">(see § </w:t>
      </w:r>
      <w:r w:rsidRPr="00D63DA4">
        <w:rPr>
          <w:bCs/>
          <w:lang w:val="en-GB"/>
        </w:rPr>
        <w:fldChar w:fldCharType="begin"/>
      </w:r>
      <w:r w:rsidRPr="00D63DA4">
        <w:rPr>
          <w:bCs/>
          <w:lang w:val="en-GB"/>
        </w:rPr>
        <w:instrText xml:space="preserve"> REF _Ref398136335 \r \h  \* MERGEFORMAT </w:instrText>
      </w:r>
      <w:r w:rsidRPr="00D63DA4">
        <w:rPr>
          <w:bCs/>
          <w:lang w:val="en-GB"/>
        </w:rPr>
      </w:r>
      <w:r w:rsidRPr="00D63DA4">
        <w:rPr>
          <w:bCs/>
          <w:lang w:val="en-GB"/>
        </w:rPr>
        <w:fldChar w:fldCharType="separate"/>
      </w:r>
      <w:r w:rsidR="00D90199">
        <w:rPr>
          <w:bCs/>
          <w:lang w:val="en-GB"/>
        </w:rPr>
        <w:t>105</w:t>
      </w:r>
      <w:r w:rsidRPr="00D63DA4">
        <w:rPr>
          <w:bCs/>
          <w:lang w:val="en-GB"/>
        </w:rPr>
        <w:fldChar w:fldCharType="end"/>
      </w:r>
      <w:r w:rsidRPr="00D63DA4">
        <w:rPr>
          <w:bCs/>
          <w:lang w:val="en-GB"/>
        </w:rPr>
        <w:t xml:space="preserve"> above)</w:t>
      </w:r>
      <w:r w:rsidRPr="00D63DA4">
        <w:rPr>
          <w:lang w:val="en-GB"/>
        </w:rPr>
        <w:t>.</w:t>
      </w:r>
      <w:r w:rsidRPr="00D63DA4">
        <w:t xml:space="preserve"> </w:t>
      </w:r>
      <w:r w:rsidRPr="00D63DA4">
        <w:rPr>
          <w:lang w:val="en-GB"/>
        </w:rPr>
        <w:t xml:space="preserve">It appears that no witness statement was ever taken from the complainant or other family members throughout the investigation and there is no evidence in the file that they were contacted in order to </w:t>
      </w:r>
      <w:r w:rsidR="00030ACD" w:rsidRPr="00D63DA4">
        <w:rPr>
          <w:lang w:val="en-GB"/>
        </w:rPr>
        <w:t xml:space="preserve">provide </w:t>
      </w:r>
      <w:r w:rsidRPr="00D63DA4">
        <w:rPr>
          <w:lang w:val="en-GB"/>
        </w:rPr>
        <w:t xml:space="preserve">updates on the progress of the investigation. </w:t>
      </w:r>
    </w:p>
    <w:p w:rsidR="00BF3546" w:rsidRPr="00D63DA4" w:rsidRDefault="00BF3546" w:rsidP="00BF3546">
      <w:pPr>
        <w:pStyle w:val="ListParagraph"/>
        <w:rPr>
          <w:b/>
          <w:lang w:val="en-GB"/>
        </w:rPr>
      </w:pPr>
    </w:p>
    <w:p w:rsidR="00BF3546" w:rsidRPr="00D63DA4" w:rsidRDefault="00BF3546" w:rsidP="00E628EF">
      <w:pPr>
        <w:numPr>
          <w:ilvl w:val="0"/>
          <w:numId w:val="2"/>
        </w:numPr>
        <w:tabs>
          <w:tab w:val="clear" w:pos="360"/>
          <w:tab w:val="left" w:pos="709"/>
        </w:tabs>
        <w:suppressAutoHyphens/>
        <w:autoSpaceDE w:val="0"/>
        <w:ind w:left="450" w:hanging="450"/>
        <w:jc w:val="both"/>
      </w:pPr>
      <w:r w:rsidRPr="00D63DA4">
        <w:rPr>
          <w:lang w:val="en-GB"/>
        </w:rPr>
        <w:t xml:space="preserve">Drawing inferences from UNMIK’s failure to provide a plausible explanation for the failure to keep the complainant properly informed, the Panel considers that this situation, which continued into the period of the Panel’s temporal jurisdiction, caused grave uncertainty to the complainant and his family about </w:t>
      </w:r>
      <w:r w:rsidRPr="00D63DA4">
        <w:t>Mr Momir Milenković’s</w:t>
      </w:r>
      <w:r w:rsidRPr="00D63DA4">
        <w:rPr>
          <w:lang w:val="en-GB"/>
        </w:rPr>
        <w:t xml:space="preserve"> fate and the status of the investigation. </w:t>
      </w:r>
      <w:r w:rsidRPr="00D63DA4">
        <w:t>Additional weight must also be attached to the fact that Mr Momir Milenković’s</w:t>
      </w:r>
      <w:r w:rsidRPr="00D63DA4">
        <w:rPr>
          <w:lang w:val="en-GB"/>
        </w:rPr>
        <w:t xml:space="preserve"> whereabouts</w:t>
      </w:r>
      <w:r w:rsidRPr="00D63DA4">
        <w:t xml:space="preserve"> were never located. </w:t>
      </w:r>
    </w:p>
    <w:p w:rsidR="00BF3546" w:rsidRPr="00D63DA4" w:rsidRDefault="00BF3546" w:rsidP="00BF3546">
      <w:pPr>
        <w:pStyle w:val="ListParagraph"/>
        <w:autoSpaceDE w:val="0"/>
        <w:ind w:left="360"/>
        <w:jc w:val="both"/>
        <w:rPr>
          <w:lang w:val="en-GB"/>
        </w:rPr>
      </w:pPr>
    </w:p>
    <w:p w:rsidR="00BF3546" w:rsidRPr="00D63DA4" w:rsidRDefault="00BF3546" w:rsidP="00E628EF">
      <w:pPr>
        <w:numPr>
          <w:ilvl w:val="0"/>
          <w:numId w:val="2"/>
        </w:numPr>
        <w:tabs>
          <w:tab w:val="clear" w:pos="360"/>
          <w:tab w:val="left" w:pos="709"/>
        </w:tabs>
        <w:suppressAutoHyphens/>
        <w:autoSpaceDE w:val="0"/>
        <w:ind w:left="450" w:hanging="450"/>
        <w:jc w:val="both"/>
        <w:rPr>
          <w:lang w:val="en-GB"/>
        </w:rPr>
      </w:pPr>
      <w:r w:rsidRPr="00D63DA4">
        <w:rPr>
          <w:lang w:val="en-GB"/>
        </w:rPr>
        <w:t xml:space="preserve">In view of the above, the Panel concludes that the complainant has suffered severe distress and anguish for a prolonged and continuing period of time on account of the way the authorities of UNMIK have dealt with the case and as a result of his inability to find out what happened to his brother. In this respect, it is obvious that, in any situation, the pain of a </w:t>
      </w:r>
      <w:r w:rsidR="005949E2" w:rsidRPr="00D63DA4">
        <w:rPr>
          <w:lang w:val="en-GB"/>
        </w:rPr>
        <w:t>sibling</w:t>
      </w:r>
      <w:r w:rsidRPr="00D63DA4">
        <w:rPr>
          <w:lang w:val="en-GB"/>
        </w:rPr>
        <w:t xml:space="preserve"> who has to live in uncertainty about the fate of his brother must be unbearable.</w:t>
      </w:r>
    </w:p>
    <w:p w:rsidR="00BF3546" w:rsidRPr="00D63DA4" w:rsidRDefault="00BF3546" w:rsidP="00BF3546">
      <w:pPr>
        <w:pStyle w:val="Default"/>
        <w:tabs>
          <w:tab w:val="left" w:pos="360"/>
          <w:tab w:val="left" w:pos="709"/>
        </w:tabs>
        <w:jc w:val="both"/>
        <w:rPr>
          <w:lang w:val="en-GB"/>
        </w:rPr>
      </w:pPr>
    </w:p>
    <w:p w:rsidR="00BF3546" w:rsidRDefault="00BF3546" w:rsidP="00BF3546">
      <w:pPr>
        <w:numPr>
          <w:ilvl w:val="0"/>
          <w:numId w:val="2"/>
        </w:numPr>
        <w:tabs>
          <w:tab w:val="clear" w:pos="360"/>
          <w:tab w:val="left" w:pos="709"/>
        </w:tabs>
        <w:suppressAutoHyphens/>
        <w:autoSpaceDE w:val="0"/>
        <w:ind w:left="450" w:hanging="450"/>
        <w:jc w:val="both"/>
        <w:rPr>
          <w:lang w:val="en-GB"/>
        </w:rPr>
      </w:pPr>
      <w:r w:rsidRPr="008F65BF">
        <w:rPr>
          <w:lang w:val="en-GB"/>
        </w:rPr>
        <w:t>For the aforementioned reasons, the Panel concludes that, by its behaviour, UNMIK contributed to the complainant’s distress and mental suffering in violation of Article 3 of the ECHR.</w:t>
      </w:r>
    </w:p>
    <w:p w:rsidR="008F65BF" w:rsidRPr="008F65BF" w:rsidRDefault="008F65BF" w:rsidP="008F65BF">
      <w:pPr>
        <w:tabs>
          <w:tab w:val="left" w:pos="709"/>
        </w:tabs>
        <w:suppressAutoHyphens/>
        <w:autoSpaceDE w:val="0"/>
        <w:ind w:left="450"/>
        <w:jc w:val="both"/>
        <w:rPr>
          <w:lang w:val="en-GB"/>
        </w:rPr>
      </w:pPr>
    </w:p>
    <w:p w:rsidR="00BF3546" w:rsidRPr="00D63DA4" w:rsidRDefault="00BF3546" w:rsidP="00BF3546">
      <w:pPr>
        <w:pStyle w:val="ListParagraph"/>
        <w:ind w:left="0"/>
        <w:rPr>
          <w:b/>
          <w:lang w:val="en-GB"/>
        </w:rPr>
      </w:pPr>
      <w:r w:rsidRPr="00D63DA4">
        <w:rPr>
          <w:b/>
          <w:lang w:val="en-GB"/>
        </w:rPr>
        <w:t>V. CONCLUDING COMMENTS AND RECOMMENDATIONS</w:t>
      </w:r>
    </w:p>
    <w:p w:rsidR="00BF3546" w:rsidRPr="00D63DA4" w:rsidRDefault="00BF3546" w:rsidP="00BF3546">
      <w:pPr>
        <w:rPr>
          <w:lang w:val="en-GB"/>
        </w:rPr>
      </w:pPr>
    </w:p>
    <w:p w:rsidR="00BF3546" w:rsidRPr="00D63DA4" w:rsidRDefault="00BF3546" w:rsidP="00BF3546">
      <w:pPr>
        <w:numPr>
          <w:ilvl w:val="0"/>
          <w:numId w:val="2"/>
        </w:numPr>
        <w:tabs>
          <w:tab w:val="clear" w:pos="360"/>
          <w:tab w:val="left" w:pos="709"/>
        </w:tabs>
        <w:suppressAutoHyphens/>
        <w:autoSpaceDE w:val="0"/>
        <w:ind w:left="450" w:hanging="450"/>
        <w:jc w:val="both"/>
        <w:rPr>
          <w:lang w:val="en-GB"/>
        </w:rPr>
      </w:pPr>
      <w:r w:rsidRPr="00D63DA4">
        <w:rPr>
          <w:lang w:val="en-GB"/>
        </w:rPr>
        <w:t>In light of the Panel’s findings in this case, the Panel is of the opinion that some form of reparation is necessary.</w:t>
      </w:r>
    </w:p>
    <w:p w:rsidR="00BF3546" w:rsidRPr="00D63DA4" w:rsidRDefault="00BF3546" w:rsidP="00BF3546">
      <w:pPr>
        <w:tabs>
          <w:tab w:val="left" w:pos="709"/>
        </w:tabs>
        <w:suppressAutoHyphens/>
        <w:autoSpaceDE w:val="0"/>
        <w:ind w:left="450"/>
        <w:jc w:val="both"/>
        <w:rPr>
          <w:lang w:val="en-GB"/>
        </w:rPr>
      </w:pPr>
    </w:p>
    <w:p w:rsidR="00BF3546" w:rsidRPr="00D63DA4" w:rsidRDefault="00BF3546" w:rsidP="00BF3546">
      <w:pPr>
        <w:numPr>
          <w:ilvl w:val="0"/>
          <w:numId w:val="2"/>
        </w:numPr>
        <w:tabs>
          <w:tab w:val="clear" w:pos="360"/>
          <w:tab w:val="left" w:pos="709"/>
        </w:tabs>
        <w:suppressAutoHyphens/>
        <w:autoSpaceDE w:val="0"/>
        <w:ind w:left="450" w:hanging="450"/>
        <w:jc w:val="both"/>
        <w:rPr>
          <w:lang w:val="en-GB"/>
        </w:rPr>
      </w:pPr>
      <w:r w:rsidRPr="00D63DA4">
        <w:rPr>
          <w:lang w:val="en-GB"/>
        </w:rPr>
        <w:t>The Panel notes that enforced disappearances and arbitrary executions constitute serious violations of human rights which, shall be investigated and prosecuted under any circumstances. The Panel also notes that UNMIK as the territorial administration of Kosovo from 1999 to 2008 had the primary responsibility to effectively investigate and prosecute those responsible for killings, abductions or disappearances in life threatening circumstances. Its failure to do so constitutes a further serious violation of the rights of the victims and their next-of-kin, in particular the right to have the truth of the matter determined.</w:t>
      </w:r>
    </w:p>
    <w:p w:rsidR="00BF3546" w:rsidRPr="00D63DA4" w:rsidRDefault="00BF3546" w:rsidP="00BF3546">
      <w:pPr>
        <w:pStyle w:val="ListParagraph"/>
        <w:rPr>
          <w:bCs/>
          <w:lang w:val="en-GB"/>
        </w:rPr>
      </w:pPr>
    </w:p>
    <w:p w:rsidR="00BF3546" w:rsidRPr="00D63DA4" w:rsidRDefault="00BF3546" w:rsidP="00BF3546">
      <w:pPr>
        <w:numPr>
          <w:ilvl w:val="0"/>
          <w:numId w:val="2"/>
        </w:numPr>
        <w:tabs>
          <w:tab w:val="clear" w:pos="360"/>
          <w:tab w:val="left" w:pos="709"/>
        </w:tabs>
        <w:suppressAutoHyphens/>
        <w:autoSpaceDE w:val="0"/>
        <w:ind w:left="450" w:hanging="450"/>
        <w:jc w:val="both"/>
        <w:rPr>
          <w:lang w:val="en-GB"/>
        </w:rPr>
      </w:pPr>
      <w:r w:rsidRPr="00D63DA4">
        <w:rPr>
          <w:bCs/>
          <w:lang w:val="en-GB"/>
        </w:rPr>
        <w:t xml:space="preserve">The </w:t>
      </w:r>
      <w:r w:rsidRPr="00D63DA4">
        <w:rPr>
          <w:lang w:val="en-GB"/>
        </w:rPr>
        <w:t>Panel</w:t>
      </w:r>
      <w:r w:rsidRPr="00D63DA4">
        <w:rPr>
          <w:bCs/>
          <w:lang w:val="en-GB"/>
        </w:rPr>
        <w:t xml:space="preserve"> </w:t>
      </w:r>
      <w:r w:rsidRPr="00E628EF">
        <w:rPr>
          <w:lang w:val="en-GB"/>
        </w:rPr>
        <w:t>notes</w:t>
      </w:r>
      <w:r w:rsidRPr="00D63DA4">
        <w:rPr>
          <w:bCs/>
          <w:lang w:val="en-GB"/>
        </w:rPr>
        <w:t xml:space="preserve"> the SRSG’s own concerns that the inadequate resources, especially at the outset of </w:t>
      </w:r>
      <w:r w:rsidRPr="00D63DA4">
        <w:rPr>
          <w:lang w:val="en-GB"/>
        </w:rPr>
        <w:t>UNMIK’s</w:t>
      </w:r>
      <w:r w:rsidRPr="00D63DA4">
        <w:rPr>
          <w:bCs/>
          <w:lang w:val="en-GB"/>
        </w:rPr>
        <w:t xml:space="preserve"> </w:t>
      </w:r>
      <w:r w:rsidRPr="00D63DA4">
        <w:rPr>
          <w:lang w:val="en-GB"/>
        </w:rPr>
        <w:t>mission</w:t>
      </w:r>
      <w:r w:rsidRPr="00D63DA4">
        <w:rPr>
          <w:bCs/>
          <w:lang w:val="en-GB"/>
        </w:rPr>
        <w:t>, made compliance with UNMIK’s human rights obligations difficult to achieve.</w:t>
      </w:r>
    </w:p>
    <w:p w:rsidR="00BF3546" w:rsidRPr="00D63DA4" w:rsidRDefault="00BF3546" w:rsidP="00BF3546">
      <w:pPr>
        <w:pStyle w:val="ListParagraph"/>
        <w:rPr>
          <w:lang w:val="en-GB"/>
        </w:rPr>
      </w:pPr>
    </w:p>
    <w:p w:rsidR="00BF3546" w:rsidRPr="00D63DA4" w:rsidRDefault="00BF3546" w:rsidP="00BF3546">
      <w:pPr>
        <w:numPr>
          <w:ilvl w:val="0"/>
          <w:numId w:val="2"/>
        </w:numPr>
        <w:tabs>
          <w:tab w:val="clear" w:pos="360"/>
          <w:tab w:val="left" w:pos="709"/>
        </w:tabs>
        <w:suppressAutoHyphens/>
        <w:autoSpaceDE w:val="0"/>
        <w:ind w:left="450" w:hanging="450"/>
        <w:jc w:val="both"/>
        <w:rPr>
          <w:lang w:val="en-GB"/>
        </w:rPr>
      </w:pPr>
      <w:r w:rsidRPr="00D63DA4">
        <w:rPr>
          <w:lang w:val="en-GB"/>
        </w:rPr>
        <w:t xml:space="preserve">It would normally be for UNMIK to take the appropriate measures in order to put an end to the violation noted and to redress as far as possible the effects thereof. However, as the Panel noted above (see § </w:t>
      </w:r>
      <w:r w:rsidRPr="00D63DA4">
        <w:fldChar w:fldCharType="begin"/>
      </w:r>
      <w:r w:rsidRPr="00D63DA4">
        <w:rPr>
          <w:lang w:val="en-GB"/>
        </w:rPr>
        <w:instrText xml:space="preserve"> REF _Ref346123927 \r \h </w:instrText>
      </w:r>
      <w:r w:rsidRPr="00D63DA4">
        <w:instrText xml:space="preserve"> \* MERGEFORMAT </w:instrText>
      </w:r>
      <w:r w:rsidRPr="00D63DA4">
        <w:fldChar w:fldCharType="separate"/>
      </w:r>
      <w:r w:rsidR="00D90199">
        <w:rPr>
          <w:lang w:val="en-GB"/>
        </w:rPr>
        <w:t>17</w:t>
      </w:r>
      <w:r w:rsidRPr="00D63DA4">
        <w:fldChar w:fldCharType="end"/>
      </w:r>
      <w:r w:rsidRPr="00D63DA4">
        <w:rPr>
          <w:lang w:val="en-GB"/>
        </w:rPr>
        <w:t xml:space="preser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human rights law.  </w:t>
      </w:r>
    </w:p>
    <w:p w:rsidR="00BF3546" w:rsidRPr="00D63DA4" w:rsidRDefault="00BF3546" w:rsidP="00BF3546">
      <w:pPr>
        <w:pStyle w:val="ListParagraph"/>
        <w:rPr>
          <w:lang w:val="en-GB"/>
        </w:rPr>
      </w:pPr>
    </w:p>
    <w:p w:rsidR="00BF3546" w:rsidRPr="00D63DA4" w:rsidRDefault="00BF3546" w:rsidP="00BF3546">
      <w:pPr>
        <w:numPr>
          <w:ilvl w:val="0"/>
          <w:numId w:val="2"/>
        </w:numPr>
        <w:tabs>
          <w:tab w:val="clear" w:pos="360"/>
          <w:tab w:val="left" w:pos="709"/>
        </w:tabs>
        <w:suppressAutoHyphens/>
        <w:autoSpaceDE w:val="0"/>
        <w:ind w:left="450" w:hanging="450"/>
        <w:jc w:val="both"/>
        <w:rPr>
          <w:lang w:val="en-GB"/>
        </w:rPr>
      </w:pPr>
      <w:r w:rsidRPr="00D63DA4">
        <w:rPr>
          <w:lang w:val="en-GB"/>
        </w:rPr>
        <w:t xml:space="preserve">The Panel considers that this factual situation does not relieve UNMIK from its obligation to redress as far as possible the effects of the violations for which it is responsible. </w:t>
      </w:r>
    </w:p>
    <w:p w:rsidR="00BF3546" w:rsidRPr="00D63DA4" w:rsidRDefault="00BF3546" w:rsidP="00BF3546">
      <w:pPr>
        <w:pStyle w:val="ListParagraph"/>
        <w:rPr>
          <w:lang w:val="en-GB"/>
        </w:rPr>
      </w:pPr>
    </w:p>
    <w:p w:rsidR="00BF3546" w:rsidRPr="00D63DA4" w:rsidRDefault="00BF3546" w:rsidP="00BF3546">
      <w:pPr>
        <w:suppressAutoHyphens/>
        <w:autoSpaceDE w:val="0"/>
        <w:ind w:left="450"/>
        <w:jc w:val="both"/>
        <w:rPr>
          <w:b/>
          <w:bCs/>
          <w:lang w:val="en-GB"/>
        </w:rPr>
      </w:pPr>
      <w:r w:rsidRPr="00D63DA4">
        <w:rPr>
          <w:b/>
          <w:bCs/>
          <w:lang w:val="en-GB"/>
        </w:rPr>
        <w:t>With respect to the complainant and the case the Panel considers appropriate that UNMIK:</w:t>
      </w:r>
    </w:p>
    <w:p w:rsidR="00BF3546" w:rsidRPr="00D63DA4" w:rsidRDefault="00BF3546" w:rsidP="00BF3546">
      <w:pPr>
        <w:pStyle w:val="ListParagraph"/>
        <w:rPr>
          <w:b/>
          <w:bCs/>
          <w:lang w:val="en-GB"/>
        </w:rPr>
      </w:pPr>
    </w:p>
    <w:p w:rsidR="00BF3546" w:rsidRPr="00D63DA4" w:rsidRDefault="00BF3546" w:rsidP="00BF3546">
      <w:pPr>
        <w:numPr>
          <w:ilvl w:val="2"/>
          <w:numId w:val="2"/>
        </w:numPr>
        <w:tabs>
          <w:tab w:val="left" w:pos="900"/>
        </w:tabs>
        <w:suppressAutoHyphens/>
        <w:autoSpaceDE w:val="0"/>
        <w:ind w:left="720" w:firstLine="0"/>
        <w:jc w:val="both"/>
        <w:rPr>
          <w:b/>
          <w:bCs/>
          <w:lang w:val="en-GB"/>
        </w:rPr>
      </w:pPr>
      <w:r w:rsidRPr="00D63DA4">
        <w:rPr>
          <w:lang w:val="en-GB"/>
        </w:rPr>
        <w:t xml:space="preserve">In line with the case law of the European Court of Human Rights on situations of limited </w:t>
      </w:r>
      <w:r w:rsidRPr="00D63DA4">
        <w:rPr>
          <w:bCs/>
          <w:lang w:val="en-GB"/>
        </w:rPr>
        <w:t>State</w:t>
      </w:r>
      <w:r w:rsidRPr="00D63DA4">
        <w:rPr>
          <w:lang w:val="en-GB"/>
        </w:rPr>
        <w:t xml:space="preserve"> jurisdiction (see ECtHR [GC], </w:t>
      </w:r>
      <w:r w:rsidRPr="00D63DA4">
        <w:rPr>
          <w:i/>
          <w:lang w:val="en-GB"/>
        </w:rPr>
        <w:t>Ilaşcu and Others v. Moldova and Russia</w:t>
      </w:r>
      <w:r w:rsidRPr="00D63DA4">
        <w:rPr>
          <w:lang w:val="en-GB"/>
        </w:rPr>
        <w:t xml:space="preserve">, </w:t>
      </w:r>
      <w:r w:rsidR="008F65BF">
        <w:rPr>
          <w:lang w:val="en-GB"/>
        </w:rPr>
        <w:t xml:space="preserve">cited in </w:t>
      </w:r>
      <w:r w:rsidR="008F65BF" w:rsidRPr="00D63DA4">
        <w:rPr>
          <w:lang w:val="en-GB"/>
        </w:rPr>
        <w:t>§</w:t>
      </w:r>
      <w:r w:rsidR="008F65BF">
        <w:rPr>
          <w:lang w:val="en-GB"/>
        </w:rPr>
        <w:t xml:space="preserve"> 155 above</w:t>
      </w:r>
      <w:r w:rsidRPr="00D63DA4">
        <w:rPr>
          <w:lang w:val="en-GB"/>
        </w:rPr>
        <w:t>,</w:t>
      </w:r>
      <w:r w:rsidR="008F65BF">
        <w:rPr>
          <w:lang w:val="en-GB"/>
        </w:rPr>
        <w:t xml:space="preserve"> at</w:t>
      </w:r>
      <w:r w:rsidRPr="00D63DA4">
        <w:rPr>
          <w:lang w:val="en-GB"/>
        </w:rPr>
        <w:t xml:space="preserve"> § 333; ECtHR, </w:t>
      </w:r>
      <w:r w:rsidRPr="00D63DA4">
        <w:rPr>
          <w:i/>
          <w:lang w:val="en-GB"/>
        </w:rPr>
        <w:t>Al-Saadoon and Mufdhi v. United Kingdom</w:t>
      </w:r>
      <w:r w:rsidRPr="00D63DA4">
        <w:rPr>
          <w:lang w:val="en-GB"/>
        </w:rPr>
        <w:t xml:space="preserve">, no. 61498/08, judgment of 2 March 2010, § 171; ECtHR [GC], </w:t>
      </w:r>
      <w:r w:rsidRPr="00D63DA4">
        <w:rPr>
          <w:i/>
          <w:lang w:val="en-GB"/>
        </w:rPr>
        <w:t>Catan and Others v. Moldova and Russia</w:t>
      </w:r>
      <w:r w:rsidRPr="00D63DA4">
        <w:rPr>
          <w:lang w:val="en-GB"/>
        </w:rPr>
        <w:t xml:space="preserve">, nos. 43370/04, 8252/05 and 18454/06, judgment of 19 October 2012, § 109), must endeavour, with all the means available to it </w:t>
      </w:r>
      <w:r w:rsidRPr="00D63DA4">
        <w:rPr>
          <w:i/>
          <w:lang w:val="en-GB"/>
        </w:rPr>
        <w:t>vis-à-vis</w:t>
      </w:r>
      <w:r w:rsidRPr="00D63DA4">
        <w:rPr>
          <w:lang w:val="en-GB"/>
        </w:rPr>
        <w:t xml:space="preserve"> competent authorities in Kosovo, to obtain assurances that the investigations concerning the case at issue will be continued in compliance with the requirements of an effective investigation as envisaged by Article 2, that the circumstances surrounding</w:t>
      </w:r>
      <w:r w:rsidRPr="00D63DA4">
        <w:rPr>
          <w:bCs/>
          <w:lang w:val="en-GB"/>
        </w:rPr>
        <w:t xml:space="preserve"> </w:t>
      </w:r>
      <w:r w:rsidRPr="00D63DA4">
        <w:rPr>
          <w:lang w:val="en-GB"/>
        </w:rPr>
        <w:t>the abduction</w:t>
      </w:r>
      <w:r w:rsidR="00D04174" w:rsidRPr="00D63DA4">
        <w:rPr>
          <w:lang w:val="en-GB"/>
        </w:rPr>
        <w:t xml:space="preserve"> and disappearance</w:t>
      </w:r>
      <w:r w:rsidRPr="00D63DA4">
        <w:rPr>
          <w:lang w:val="en-GB"/>
        </w:rPr>
        <w:t xml:space="preserve"> of Mr</w:t>
      </w:r>
      <w:r w:rsidRPr="00D63DA4">
        <w:t xml:space="preserve"> </w:t>
      </w:r>
      <w:r w:rsidRPr="00D63DA4">
        <w:lastRenderedPageBreak/>
        <w:t>Momir Milenković</w:t>
      </w:r>
      <w:r w:rsidRPr="00D63DA4">
        <w:rPr>
          <w:lang w:val="en-GB"/>
        </w:rPr>
        <w:t xml:space="preserve"> will be established and that perpetrators will be brought to justice. The complainant and/or other next-of-kin shall be informed of such proceedings and relevant documents shall be disclosed to them, as necessary;</w:t>
      </w:r>
    </w:p>
    <w:p w:rsidR="00BF3546" w:rsidRPr="00D63DA4" w:rsidRDefault="00BF3546" w:rsidP="00BF3546">
      <w:pPr>
        <w:tabs>
          <w:tab w:val="left" w:pos="900"/>
        </w:tabs>
        <w:suppressAutoHyphens/>
        <w:autoSpaceDE w:val="0"/>
        <w:ind w:left="720"/>
        <w:jc w:val="both"/>
        <w:rPr>
          <w:b/>
          <w:bCs/>
          <w:lang w:val="en-GB"/>
        </w:rPr>
      </w:pPr>
    </w:p>
    <w:p w:rsidR="00BF3546" w:rsidRPr="00D63DA4" w:rsidRDefault="00BF3546" w:rsidP="00BF3546">
      <w:pPr>
        <w:numPr>
          <w:ilvl w:val="2"/>
          <w:numId w:val="2"/>
        </w:numPr>
        <w:tabs>
          <w:tab w:val="left" w:pos="900"/>
        </w:tabs>
        <w:suppressAutoHyphens/>
        <w:autoSpaceDE w:val="0"/>
        <w:ind w:left="720" w:firstLine="0"/>
        <w:jc w:val="both"/>
        <w:rPr>
          <w:b/>
          <w:bCs/>
          <w:lang w:val="en-GB"/>
        </w:rPr>
      </w:pPr>
      <w:r w:rsidRPr="00D63DA4">
        <w:rPr>
          <w:lang w:val="en-GB"/>
        </w:rPr>
        <w:t>Publicly acknowledges, within a reasonable time, responsibility with respect to UNMIK’s failure to adequately investigate the abduction</w:t>
      </w:r>
      <w:r w:rsidR="00D04174" w:rsidRPr="00D63DA4">
        <w:rPr>
          <w:lang w:val="en-GB"/>
        </w:rPr>
        <w:t xml:space="preserve"> and disappearance</w:t>
      </w:r>
      <w:r w:rsidRPr="00D63DA4">
        <w:rPr>
          <w:lang w:val="en-GB"/>
        </w:rPr>
        <w:t xml:space="preserve"> of Mr</w:t>
      </w:r>
      <w:r w:rsidRPr="00D63DA4">
        <w:t xml:space="preserve"> Momir Milenković</w:t>
      </w:r>
      <w:r w:rsidRPr="00D63DA4">
        <w:rPr>
          <w:lang w:val="en-GB"/>
        </w:rPr>
        <w:t>, as well as the distress and mental suffering subsequently incurred by the complainant and his family, and makes a public apology to the complainant and his family in this regard;</w:t>
      </w:r>
    </w:p>
    <w:p w:rsidR="00BF3546" w:rsidRPr="00D63DA4" w:rsidRDefault="00BF3546" w:rsidP="00BF3546">
      <w:pPr>
        <w:suppressAutoHyphens/>
        <w:autoSpaceDE w:val="0"/>
        <w:ind w:left="709" w:hanging="142"/>
        <w:jc w:val="both"/>
        <w:rPr>
          <w:lang w:val="en-GB"/>
        </w:rPr>
      </w:pPr>
    </w:p>
    <w:p w:rsidR="00BF3546" w:rsidRPr="00D63DA4" w:rsidRDefault="00BF3546" w:rsidP="00BF3546">
      <w:pPr>
        <w:numPr>
          <w:ilvl w:val="0"/>
          <w:numId w:val="8"/>
        </w:numPr>
        <w:tabs>
          <w:tab w:val="left" w:pos="900"/>
        </w:tabs>
        <w:suppressAutoHyphens/>
        <w:autoSpaceDE w:val="0"/>
        <w:ind w:left="720" w:firstLine="0"/>
        <w:jc w:val="both"/>
        <w:rPr>
          <w:lang w:val="en-GB"/>
        </w:rPr>
      </w:pPr>
      <w:r w:rsidRPr="00D63DA4">
        <w:rPr>
          <w:lang w:val="en-GB"/>
        </w:rPr>
        <w:t>Takes appropriate steps towards payment of adequate compensation to the complainant for the moral damage suffered due to UNMIK’s failure to conduct an effective investigation, as well as for distress and mental suffering incurred by the complainant as a consequence of UNMIK’s behaviour.</w:t>
      </w:r>
    </w:p>
    <w:p w:rsidR="00BF3546" w:rsidRPr="00D63DA4" w:rsidRDefault="00BF3546" w:rsidP="00BF3546">
      <w:pPr>
        <w:suppressAutoHyphens/>
        <w:autoSpaceDE w:val="0"/>
        <w:jc w:val="both"/>
        <w:rPr>
          <w:b/>
          <w:bCs/>
          <w:lang w:val="en-GB"/>
        </w:rPr>
      </w:pPr>
    </w:p>
    <w:p w:rsidR="00BF3546" w:rsidRPr="00D63DA4" w:rsidRDefault="00BF3546" w:rsidP="00BF3546">
      <w:pPr>
        <w:suppressAutoHyphens/>
        <w:autoSpaceDE w:val="0"/>
        <w:ind w:left="450"/>
        <w:jc w:val="both"/>
        <w:rPr>
          <w:b/>
          <w:bCs/>
          <w:lang w:val="en-GB"/>
        </w:rPr>
      </w:pPr>
      <w:r w:rsidRPr="00D63DA4">
        <w:rPr>
          <w:b/>
          <w:bCs/>
          <w:lang w:val="en-GB"/>
        </w:rPr>
        <w:t>The Panel also considers appropriate that UNMIK:</w:t>
      </w:r>
    </w:p>
    <w:p w:rsidR="00BF3546" w:rsidRPr="00D63DA4" w:rsidRDefault="00BF3546" w:rsidP="00BF3546">
      <w:pPr>
        <w:tabs>
          <w:tab w:val="left" w:pos="900"/>
        </w:tabs>
        <w:suppressAutoHyphens/>
        <w:autoSpaceDE w:val="0"/>
        <w:ind w:left="720"/>
        <w:jc w:val="both"/>
        <w:rPr>
          <w:lang w:val="en-GB"/>
        </w:rPr>
      </w:pPr>
    </w:p>
    <w:p w:rsidR="00BF3546" w:rsidRPr="00D63DA4" w:rsidRDefault="00BF3546" w:rsidP="00BF3546">
      <w:pPr>
        <w:numPr>
          <w:ilvl w:val="0"/>
          <w:numId w:val="8"/>
        </w:numPr>
        <w:tabs>
          <w:tab w:val="left" w:pos="900"/>
        </w:tabs>
        <w:suppressAutoHyphens/>
        <w:autoSpaceDE w:val="0"/>
        <w:ind w:left="720" w:firstLine="0"/>
        <w:jc w:val="both"/>
        <w:rPr>
          <w:lang w:val="en-GB"/>
        </w:rPr>
      </w:pPr>
      <w:r w:rsidRPr="00D63DA4">
        <w:rPr>
          <w:lang w:val="en-GB"/>
        </w:rPr>
        <w:t>In line with the UN General Assembly Resolution on “Basic Principles and Guidelines on the Right to a Remedy and Reparation for Victims of Gross Violations of International Human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BF3546" w:rsidRPr="00D63DA4" w:rsidRDefault="00BF3546" w:rsidP="00BF3546">
      <w:pPr>
        <w:pStyle w:val="ListParagraph"/>
        <w:ind w:left="360" w:firstLine="66"/>
        <w:jc w:val="both"/>
        <w:rPr>
          <w:lang w:val="en-GB"/>
        </w:rPr>
      </w:pPr>
    </w:p>
    <w:p w:rsidR="00BF3546" w:rsidRPr="00D63DA4" w:rsidRDefault="00BF3546" w:rsidP="00BF3546">
      <w:pPr>
        <w:numPr>
          <w:ilvl w:val="0"/>
          <w:numId w:val="8"/>
        </w:numPr>
        <w:tabs>
          <w:tab w:val="left" w:pos="900"/>
        </w:tabs>
        <w:suppressAutoHyphens/>
        <w:autoSpaceDE w:val="0"/>
        <w:ind w:left="720" w:firstLine="0"/>
        <w:jc w:val="both"/>
        <w:rPr>
          <w:lang w:val="en-GB"/>
        </w:rPr>
      </w:pPr>
      <w:r w:rsidRPr="00D63DA4">
        <w:rPr>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BF3546" w:rsidRPr="00D63DA4" w:rsidRDefault="00BF3546" w:rsidP="00BF3546">
      <w:pPr>
        <w:rPr>
          <w:lang w:val="en-GB"/>
        </w:rPr>
      </w:pPr>
    </w:p>
    <w:p w:rsidR="00BF3546" w:rsidRPr="00D63DA4" w:rsidRDefault="00BF3546" w:rsidP="00BF3546">
      <w:pPr>
        <w:pStyle w:val="Normal1"/>
        <w:spacing w:before="0" w:beforeAutospacing="0" w:after="0" w:afterAutospacing="0"/>
        <w:jc w:val="both"/>
        <w:rPr>
          <w:b/>
          <w:lang w:val="en-GB"/>
        </w:rPr>
      </w:pPr>
    </w:p>
    <w:p w:rsidR="00BF3546" w:rsidRPr="00D63DA4" w:rsidRDefault="00BF3546" w:rsidP="00BF3546">
      <w:pPr>
        <w:pStyle w:val="Normal1"/>
        <w:spacing w:before="0" w:beforeAutospacing="0" w:after="0" w:afterAutospacing="0"/>
        <w:jc w:val="both"/>
        <w:rPr>
          <w:b/>
          <w:lang w:val="en-GB"/>
        </w:rPr>
      </w:pPr>
      <w:r w:rsidRPr="00D63DA4">
        <w:rPr>
          <w:b/>
          <w:lang w:val="en-GB"/>
        </w:rPr>
        <w:t>FOR THESE REASONS,</w:t>
      </w:r>
    </w:p>
    <w:p w:rsidR="00BF3546" w:rsidRPr="00D63DA4" w:rsidRDefault="00BF3546" w:rsidP="00BF3546">
      <w:pPr>
        <w:pStyle w:val="Normal1"/>
        <w:spacing w:before="0" w:beforeAutospacing="0" w:after="0" w:afterAutospacing="0"/>
        <w:jc w:val="both"/>
        <w:rPr>
          <w:b/>
          <w:lang w:val="en-GB"/>
        </w:rPr>
      </w:pPr>
    </w:p>
    <w:p w:rsidR="00BF3546" w:rsidRPr="00D63DA4" w:rsidRDefault="00BF3546" w:rsidP="00BF3546">
      <w:pPr>
        <w:pStyle w:val="Normal1"/>
        <w:spacing w:before="0" w:beforeAutospacing="0" w:after="0" w:afterAutospacing="0"/>
        <w:jc w:val="both"/>
        <w:rPr>
          <w:b/>
          <w:lang w:val="en-GB"/>
        </w:rPr>
      </w:pPr>
    </w:p>
    <w:p w:rsidR="00BF3546" w:rsidRPr="00D63DA4" w:rsidRDefault="00BF3546" w:rsidP="00BF3546">
      <w:pPr>
        <w:autoSpaceDE w:val="0"/>
        <w:autoSpaceDN w:val="0"/>
        <w:adjustRightInd w:val="0"/>
        <w:jc w:val="both"/>
        <w:rPr>
          <w:lang w:val="en-GB"/>
        </w:rPr>
      </w:pPr>
      <w:r w:rsidRPr="00D63DA4">
        <w:rPr>
          <w:lang w:val="en-GB"/>
        </w:rPr>
        <w:t>The Panel, unanimously,</w:t>
      </w:r>
    </w:p>
    <w:p w:rsidR="00BF3546" w:rsidRPr="00D63DA4" w:rsidRDefault="00BF3546" w:rsidP="00BF3546">
      <w:pPr>
        <w:autoSpaceDE w:val="0"/>
        <w:autoSpaceDN w:val="0"/>
        <w:adjustRightInd w:val="0"/>
        <w:jc w:val="both"/>
        <w:rPr>
          <w:lang w:val="en-GB"/>
        </w:rPr>
      </w:pPr>
      <w:r w:rsidRPr="00D63DA4">
        <w:rPr>
          <w:lang w:val="en-GB"/>
        </w:rPr>
        <w:t xml:space="preserve"> </w:t>
      </w:r>
    </w:p>
    <w:p w:rsidR="00BF3546" w:rsidRPr="00D63DA4" w:rsidRDefault="00BF3546" w:rsidP="00BF3546">
      <w:pPr>
        <w:autoSpaceDE w:val="0"/>
        <w:autoSpaceDN w:val="0"/>
        <w:adjustRightInd w:val="0"/>
        <w:jc w:val="both"/>
        <w:rPr>
          <w:lang w:val="en-GB"/>
        </w:rPr>
      </w:pPr>
    </w:p>
    <w:p w:rsidR="00BF3546" w:rsidRPr="00D63DA4" w:rsidRDefault="00BF3546" w:rsidP="00BF3546">
      <w:pPr>
        <w:pStyle w:val="JuList"/>
        <w:numPr>
          <w:ilvl w:val="0"/>
          <w:numId w:val="5"/>
        </w:numPr>
        <w:tabs>
          <w:tab w:val="clear" w:pos="567"/>
          <w:tab w:val="num" w:pos="-142"/>
        </w:tabs>
        <w:ind w:left="284" w:hanging="284"/>
        <w:rPr>
          <w:b/>
        </w:rPr>
      </w:pPr>
      <w:r w:rsidRPr="00D63DA4">
        <w:rPr>
          <w:b/>
        </w:rPr>
        <w:t xml:space="preserve"> FINDS THAT THERE HAS BEEN A VIOLATION OF THE PROCEDURAL OBLIGATION UNDER ARTICLE 2 OF THE EUROPEAN CONVENTION ON HUMAN RIGHTS;</w:t>
      </w:r>
    </w:p>
    <w:p w:rsidR="00BF3546" w:rsidRPr="00D63DA4" w:rsidRDefault="00BF3546" w:rsidP="00BF3546">
      <w:pPr>
        <w:pStyle w:val="JuList"/>
        <w:ind w:left="0" w:firstLine="0"/>
        <w:rPr>
          <w:b/>
        </w:rPr>
      </w:pPr>
    </w:p>
    <w:p w:rsidR="00BF3546" w:rsidRPr="00D63DA4" w:rsidRDefault="00BF3546" w:rsidP="00BF3546">
      <w:pPr>
        <w:pStyle w:val="JuList"/>
        <w:numPr>
          <w:ilvl w:val="0"/>
          <w:numId w:val="5"/>
        </w:numPr>
        <w:tabs>
          <w:tab w:val="clear" w:pos="567"/>
          <w:tab w:val="num" w:pos="-142"/>
        </w:tabs>
        <w:ind w:left="284" w:hanging="284"/>
        <w:rPr>
          <w:b/>
          <w:bCs/>
          <w:szCs w:val="24"/>
          <w:lang w:eastAsia="en-US"/>
        </w:rPr>
      </w:pPr>
      <w:r w:rsidRPr="00D63DA4">
        <w:rPr>
          <w:b/>
        </w:rPr>
        <w:lastRenderedPageBreak/>
        <w:t>FINDS THAT THERE HAS BEEN A VIOLATION OF THE SUBSTANTIVE OBLIGATION UNDER ARTICLE 3 OF THE EUROPEAN CONVENTION ON HUMAN RIGHTS;</w:t>
      </w:r>
    </w:p>
    <w:p w:rsidR="00BF3546" w:rsidRPr="00D63DA4" w:rsidRDefault="00BF3546" w:rsidP="00BF3546">
      <w:pPr>
        <w:pStyle w:val="JuList"/>
        <w:ind w:left="0" w:firstLine="0"/>
        <w:rPr>
          <w:b/>
        </w:rPr>
      </w:pPr>
    </w:p>
    <w:p w:rsidR="00BF3546" w:rsidRPr="00D63DA4" w:rsidRDefault="00BF3546" w:rsidP="00BF3546">
      <w:pPr>
        <w:pStyle w:val="JuList"/>
        <w:numPr>
          <w:ilvl w:val="0"/>
          <w:numId w:val="5"/>
        </w:numPr>
        <w:tabs>
          <w:tab w:val="clear" w:pos="567"/>
          <w:tab w:val="num" w:pos="-142"/>
        </w:tabs>
        <w:ind w:left="284" w:hanging="284"/>
        <w:rPr>
          <w:b/>
        </w:rPr>
      </w:pPr>
      <w:r w:rsidRPr="00D63DA4">
        <w:rPr>
          <w:b/>
          <w:bCs/>
          <w:lang w:eastAsia="en-US"/>
        </w:rPr>
        <w:t xml:space="preserve"> </w:t>
      </w:r>
      <w:r w:rsidRPr="00D63DA4">
        <w:rPr>
          <w:b/>
        </w:rPr>
        <w:t>RECOMMENDS</w:t>
      </w:r>
      <w:r w:rsidRPr="00D63DA4">
        <w:rPr>
          <w:b/>
          <w:bCs/>
          <w:lang w:eastAsia="en-US"/>
        </w:rPr>
        <w:t xml:space="preserve"> THAT UNMIK:</w:t>
      </w:r>
    </w:p>
    <w:p w:rsidR="00BF3546" w:rsidRPr="00D63DA4" w:rsidRDefault="00BF3546" w:rsidP="00BF3546">
      <w:pPr>
        <w:pStyle w:val="JuList"/>
        <w:ind w:left="0" w:firstLine="0"/>
        <w:rPr>
          <w:b/>
          <w:bCs/>
          <w:lang w:eastAsia="en-US"/>
        </w:rPr>
      </w:pPr>
    </w:p>
    <w:p w:rsidR="00BF3546" w:rsidRPr="00D63DA4" w:rsidRDefault="00BF3546" w:rsidP="00BF3546">
      <w:pPr>
        <w:pStyle w:val="JuList"/>
        <w:numPr>
          <w:ilvl w:val="0"/>
          <w:numId w:val="6"/>
        </w:numPr>
        <w:ind w:left="426" w:hanging="283"/>
        <w:rPr>
          <w:b/>
          <w:bCs/>
          <w:lang w:eastAsia="en-US"/>
        </w:rPr>
      </w:pPr>
      <w:r w:rsidRPr="00D63DA4">
        <w:rPr>
          <w:b/>
          <w:bCs/>
          <w:lang w:eastAsia="en-US"/>
        </w:rPr>
        <w:t xml:space="preserve">URGES COMPETENT AUTHORITIES IN KOSOVO TO TAKE ALL POSSIBLE STEPS IN ORDER TO ENSURE THAT THE CRIMINAL INVESTIGATION INTO THE </w:t>
      </w:r>
      <w:r w:rsidRPr="00D63DA4">
        <w:rPr>
          <w:b/>
        </w:rPr>
        <w:t>ABDUCTION</w:t>
      </w:r>
      <w:r w:rsidR="00D04174" w:rsidRPr="00D63DA4">
        <w:rPr>
          <w:b/>
        </w:rPr>
        <w:t xml:space="preserve"> AND DISAPPEARANCE</w:t>
      </w:r>
      <w:r w:rsidRPr="00D63DA4">
        <w:rPr>
          <w:b/>
        </w:rPr>
        <w:t xml:space="preserve"> OF MR MOMIR MILENKOVIĆ </w:t>
      </w:r>
      <w:r w:rsidRPr="00D63DA4">
        <w:rPr>
          <w:b/>
          <w:bCs/>
          <w:lang w:eastAsia="en-US"/>
        </w:rPr>
        <w:t>IS CONTINUED IN COMPLIANCE WITH ARTICLE 2 OF THE ECHR AND THAT THE PERPETRATORS ARE BROUGHT TO JUSTICE;</w:t>
      </w:r>
    </w:p>
    <w:p w:rsidR="00BF3546" w:rsidRPr="00D63DA4" w:rsidRDefault="00BF3546" w:rsidP="00BF3546">
      <w:pPr>
        <w:pStyle w:val="JuList"/>
        <w:ind w:left="360" w:firstLine="0"/>
        <w:rPr>
          <w:b/>
          <w:bCs/>
          <w:lang w:eastAsia="en-US"/>
        </w:rPr>
      </w:pPr>
    </w:p>
    <w:p w:rsidR="00BF3546" w:rsidRPr="00D63DA4" w:rsidRDefault="00BF3546" w:rsidP="00BF3546">
      <w:pPr>
        <w:pStyle w:val="JuList"/>
        <w:numPr>
          <w:ilvl w:val="0"/>
          <w:numId w:val="6"/>
        </w:numPr>
        <w:ind w:left="426" w:hanging="283"/>
        <w:rPr>
          <w:b/>
          <w:bCs/>
          <w:lang w:eastAsia="en-US"/>
        </w:rPr>
      </w:pPr>
      <w:r w:rsidRPr="00D63DA4">
        <w:rPr>
          <w:b/>
          <w:bCs/>
          <w:lang w:eastAsia="en-US"/>
        </w:rPr>
        <w:t xml:space="preserve">PUBLICLY ACKNOWLEDGES RESPONSIBILITY FOR ITS FAILURE TO CONDUCT AN EFFECTIVE INVESTIGATION INTO THE </w:t>
      </w:r>
      <w:r w:rsidRPr="00D63DA4">
        <w:rPr>
          <w:b/>
        </w:rPr>
        <w:t>ABDUCTION</w:t>
      </w:r>
      <w:r w:rsidR="00D04174" w:rsidRPr="00D63DA4">
        <w:rPr>
          <w:b/>
        </w:rPr>
        <w:t xml:space="preserve"> AND DISAPPEARANCE</w:t>
      </w:r>
      <w:r w:rsidRPr="00D63DA4">
        <w:rPr>
          <w:b/>
        </w:rPr>
        <w:t xml:space="preserve"> OF MR MOMIR MILENKOVIĆ,</w:t>
      </w:r>
      <w:r w:rsidRPr="00D63DA4">
        <w:rPr>
          <w:b/>
          <w:bCs/>
          <w:lang w:eastAsia="en-US"/>
        </w:rPr>
        <w:t xml:space="preserve"> AS WELL AS FOR</w:t>
      </w:r>
      <w:r w:rsidRPr="00D63DA4">
        <w:rPr>
          <w:b/>
          <w:color w:val="000000"/>
        </w:rPr>
        <w:t xml:space="preserve"> DISTRESS AND MENTAL SUFFERING INCURRED BY THE COMPLAINANT,</w:t>
      </w:r>
      <w:r w:rsidRPr="00D63DA4">
        <w:rPr>
          <w:b/>
          <w:bCs/>
          <w:lang w:eastAsia="en-US"/>
        </w:rPr>
        <w:t xml:space="preserve"> AND MAKES A PUBLIC APOLOGY TO THE COMPLAINANT; </w:t>
      </w:r>
    </w:p>
    <w:p w:rsidR="00BF3546" w:rsidRPr="00D63DA4" w:rsidRDefault="00BF3546" w:rsidP="00BF3546">
      <w:pPr>
        <w:pStyle w:val="JuList"/>
        <w:ind w:left="360" w:firstLine="0"/>
        <w:rPr>
          <w:b/>
          <w:bCs/>
          <w:lang w:eastAsia="en-US"/>
        </w:rPr>
      </w:pPr>
    </w:p>
    <w:p w:rsidR="00BF3546" w:rsidRPr="00D63DA4" w:rsidRDefault="00BF3546" w:rsidP="00BF3546">
      <w:pPr>
        <w:pStyle w:val="JuList"/>
        <w:numPr>
          <w:ilvl w:val="0"/>
          <w:numId w:val="6"/>
        </w:numPr>
        <w:ind w:left="426" w:hanging="283"/>
        <w:rPr>
          <w:b/>
        </w:rPr>
      </w:pPr>
      <w:r w:rsidRPr="00D63DA4">
        <w:rPr>
          <w:b/>
          <w:bCs/>
          <w:caps/>
          <w:lang w:eastAsia="en-US"/>
        </w:rPr>
        <w:t xml:space="preserve">TAKES APPROPRIATE STEPS TOWARDS PAYMENT OF ADEQUATE </w:t>
      </w:r>
      <w:r w:rsidRPr="00D63DA4">
        <w:rPr>
          <w:b/>
          <w:bCs/>
          <w:lang w:eastAsia="en-US"/>
        </w:rPr>
        <w:t>COMPENSATION</w:t>
      </w:r>
      <w:r w:rsidRPr="00D63DA4">
        <w:rPr>
          <w:b/>
          <w:bCs/>
          <w:caps/>
          <w:lang w:eastAsia="en-US"/>
        </w:rPr>
        <w:t xml:space="preserve"> FOR MORAL DAMAGE IN RELATION TO THE FINDING OF VIOLATIONS OF ARTICLE 2 AND ARTICLE 3 OF THE ECHR TO THE COMPLAINANT</w:t>
      </w:r>
      <w:r w:rsidRPr="00D63DA4">
        <w:rPr>
          <w:b/>
        </w:rPr>
        <w:t>;</w:t>
      </w:r>
    </w:p>
    <w:p w:rsidR="00BF3546" w:rsidRPr="00D63DA4" w:rsidRDefault="00BF3546" w:rsidP="00BF3546">
      <w:pPr>
        <w:pStyle w:val="JuList"/>
        <w:ind w:left="0" w:firstLine="0"/>
        <w:rPr>
          <w:b/>
          <w:bCs/>
          <w:lang w:eastAsia="en-US"/>
        </w:rPr>
      </w:pPr>
    </w:p>
    <w:p w:rsidR="00BF3546" w:rsidRPr="00D63DA4" w:rsidRDefault="00BF3546" w:rsidP="00BF3546">
      <w:pPr>
        <w:pStyle w:val="JuList"/>
        <w:numPr>
          <w:ilvl w:val="0"/>
          <w:numId w:val="6"/>
        </w:numPr>
        <w:ind w:left="426" w:hanging="283"/>
        <w:rPr>
          <w:b/>
          <w:bCs/>
          <w:lang w:eastAsia="en-US"/>
        </w:rPr>
      </w:pPr>
      <w:r w:rsidRPr="00D63DA4">
        <w:rPr>
          <w:b/>
          <w:bCs/>
          <w:lang w:eastAsia="en-US"/>
        </w:rPr>
        <w:t>TAKES APPROPRIATE STEPS TOWARDS THE REALISATION OF A FULL AND COMPREHENSIVE REPARATION PROGRAMME;</w:t>
      </w:r>
    </w:p>
    <w:p w:rsidR="00BF3546" w:rsidRPr="00D63DA4" w:rsidRDefault="00BF3546" w:rsidP="00BF3546">
      <w:pPr>
        <w:pStyle w:val="ListParagraph"/>
        <w:rPr>
          <w:b/>
          <w:bCs/>
          <w:lang w:val="en-GB" w:eastAsia="en-US"/>
        </w:rPr>
      </w:pPr>
    </w:p>
    <w:p w:rsidR="00BF3546" w:rsidRPr="00D63DA4" w:rsidRDefault="00BF3546" w:rsidP="00BF3546">
      <w:pPr>
        <w:pStyle w:val="JuList"/>
        <w:numPr>
          <w:ilvl w:val="0"/>
          <w:numId w:val="6"/>
        </w:numPr>
        <w:ind w:left="426" w:hanging="283"/>
        <w:rPr>
          <w:b/>
          <w:bCs/>
          <w:lang w:eastAsia="en-US"/>
        </w:rPr>
      </w:pPr>
      <w:r w:rsidRPr="00D63DA4">
        <w:rPr>
          <w:b/>
          <w:bCs/>
          <w:lang w:eastAsia="en-US"/>
        </w:rPr>
        <w:t>TAKES APPROPRIATE STEPS AT THE UNITED NATIONS AS A GUARANTEE OF NON REPETITION;</w:t>
      </w:r>
    </w:p>
    <w:p w:rsidR="00BF3546" w:rsidRPr="00D63DA4" w:rsidRDefault="00BF3546" w:rsidP="00BF3546">
      <w:pPr>
        <w:pStyle w:val="JuList"/>
        <w:ind w:left="0" w:firstLine="0"/>
        <w:rPr>
          <w:b/>
          <w:bCs/>
          <w:lang w:eastAsia="en-US"/>
        </w:rPr>
      </w:pPr>
    </w:p>
    <w:p w:rsidR="00BF3546" w:rsidRPr="00D63DA4" w:rsidRDefault="00BF3546" w:rsidP="00BF3546">
      <w:pPr>
        <w:pStyle w:val="JuList"/>
        <w:numPr>
          <w:ilvl w:val="0"/>
          <w:numId w:val="6"/>
        </w:numPr>
        <w:ind w:left="426" w:hanging="283"/>
        <w:rPr>
          <w:b/>
          <w:bCs/>
          <w:lang w:eastAsia="en-US"/>
        </w:rPr>
      </w:pPr>
      <w:r w:rsidRPr="00D63DA4">
        <w:rPr>
          <w:b/>
          <w:bCs/>
          <w:lang w:eastAsia="en-US"/>
        </w:rPr>
        <w:t>TAKES IMMEDIATE AND EFFECTIVE MEASURES TO IMPLEMENT THE RECOMMENDATIONS OF THE PANEL AND TO INFORM THE COMPLAINANT AND THE PANEL ABOUT FURTHER DEVELOPMENTS IN THIS CASE.</w:t>
      </w:r>
    </w:p>
    <w:p w:rsidR="00BF3546" w:rsidRPr="00D63DA4" w:rsidRDefault="00BF3546" w:rsidP="00BF3546">
      <w:pPr>
        <w:autoSpaceDE w:val="0"/>
        <w:autoSpaceDN w:val="0"/>
        <w:adjustRightInd w:val="0"/>
        <w:jc w:val="both"/>
        <w:rPr>
          <w:b/>
          <w:bCs/>
          <w:lang w:val="en-GB"/>
        </w:rPr>
      </w:pPr>
    </w:p>
    <w:p w:rsidR="00BF3546" w:rsidRPr="00D63DA4" w:rsidRDefault="00BF3546" w:rsidP="00BF3546">
      <w:pPr>
        <w:autoSpaceDE w:val="0"/>
        <w:autoSpaceDN w:val="0"/>
        <w:adjustRightInd w:val="0"/>
        <w:jc w:val="both"/>
        <w:rPr>
          <w:b/>
          <w:bCs/>
          <w:lang w:val="en-GB"/>
        </w:rPr>
      </w:pPr>
    </w:p>
    <w:p w:rsidR="00BF3546" w:rsidRDefault="00BF3546" w:rsidP="00BF3546">
      <w:pPr>
        <w:autoSpaceDE w:val="0"/>
        <w:autoSpaceDN w:val="0"/>
        <w:adjustRightInd w:val="0"/>
        <w:jc w:val="both"/>
        <w:rPr>
          <w:b/>
          <w:bCs/>
          <w:lang w:val="en-GB"/>
        </w:rPr>
      </w:pPr>
    </w:p>
    <w:p w:rsidR="00E628EF" w:rsidRPr="00D63DA4" w:rsidRDefault="00E628EF" w:rsidP="00BF3546">
      <w:pPr>
        <w:autoSpaceDE w:val="0"/>
        <w:autoSpaceDN w:val="0"/>
        <w:adjustRightInd w:val="0"/>
        <w:jc w:val="both"/>
        <w:rPr>
          <w:b/>
          <w:bCs/>
          <w:lang w:val="en-GB"/>
        </w:rPr>
      </w:pPr>
    </w:p>
    <w:p w:rsidR="00BF3546" w:rsidRPr="00D63DA4" w:rsidRDefault="00BF3546" w:rsidP="00BF3546">
      <w:pPr>
        <w:autoSpaceDE w:val="0"/>
        <w:autoSpaceDN w:val="0"/>
        <w:adjustRightInd w:val="0"/>
        <w:jc w:val="both"/>
        <w:rPr>
          <w:b/>
          <w:bCs/>
          <w:lang w:val="en-GB"/>
        </w:rPr>
      </w:pPr>
    </w:p>
    <w:p w:rsidR="00BF3546" w:rsidRPr="00D63DA4" w:rsidRDefault="00BF3546" w:rsidP="00BF3546">
      <w:pPr>
        <w:autoSpaceDE w:val="0"/>
        <w:autoSpaceDN w:val="0"/>
        <w:adjustRightInd w:val="0"/>
        <w:jc w:val="both"/>
        <w:rPr>
          <w:b/>
          <w:bCs/>
          <w:lang w:val="en-GB"/>
        </w:rPr>
      </w:pPr>
    </w:p>
    <w:p w:rsidR="00BF3546" w:rsidRPr="00D63DA4" w:rsidRDefault="00BF3546" w:rsidP="00BF3546">
      <w:pPr>
        <w:autoSpaceDE w:val="0"/>
        <w:autoSpaceDN w:val="0"/>
        <w:adjustRightInd w:val="0"/>
        <w:jc w:val="both"/>
        <w:rPr>
          <w:lang w:val="en-GB"/>
        </w:rPr>
      </w:pPr>
    </w:p>
    <w:p w:rsidR="00BF3546" w:rsidRPr="00D63DA4" w:rsidRDefault="00BF3546" w:rsidP="00BF3546">
      <w:pPr>
        <w:autoSpaceDE w:val="0"/>
        <w:autoSpaceDN w:val="0"/>
        <w:adjustRightInd w:val="0"/>
        <w:jc w:val="both"/>
        <w:rPr>
          <w:lang w:val="en-GB"/>
        </w:rPr>
      </w:pPr>
      <w:r w:rsidRPr="00D63DA4">
        <w:rPr>
          <w:lang w:val="en-GB"/>
        </w:rPr>
        <w:t>Andrey Antonov</w:t>
      </w:r>
      <w:r w:rsidRPr="00D63DA4">
        <w:rPr>
          <w:lang w:val="en-GB"/>
        </w:rPr>
        <w:tab/>
      </w:r>
      <w:r w:rsidRPr="00D63DA4">
        <w:rPr>
          <w:lang w:val="en-GB"/>
        </w:rPr>
        <w:tab/>
      </w:r>
      <w:r w:rsidRPr="00D63DA4">
        <w:rPr>
          <w:lang w:val="en-GB"/>
        </w:rPr>
        <w:tab/>
      </w:r>
      <w:r w:rsidRPr="00D63DA4">
        <w:rPr>
          <w:lang w:val="en-GB"/>
        </w:rPr>
        <w:tab/>
      </w:r>
      <w:r w:rsidRPr="00D63DA4">
        <w:rPr>
          <w:lang w:val="en-GB"/>
        </w:rPr>
        <w:tab/>
      </w:r>
      <w:r w:rsidRPr="00D63DA4">
        <w:rPr>
          <w:lang w:val="en-GB"/>
        </w:rPr>
        <w:tab/>
      </w:r>
      <w:r w:rsidRPr="00D63DA4">
        <w:rPr>
          <w:lang w:val="en-GB"/>
        </w:rPr>
        <w:tab/>
        <w:t>Marek Nowicki</w:t>
      </w:r>
    </w:p>
    <w:p w:rsidR="00BF3546" w:rsidRPr="00D63DA4" w:rsidRDefault="00BF3546" w:rsidP="00BF3546">
      <w:pPr>
        <w:autoSpaceDE w:val="0"/>
        <w:autoSpaceDN w:val="0"/>
        <w:adjustRightInd w:val="0"/>
        <w:jc w:val="both"/>
        <w:rPr>
          <w:lang w:val="en-GB"/>
        </w:rPr>
      </w:pPr>
      <w:r w:rsidRPr="00D63DA4">
        <w:rPr>
          <w:lang w:val="en-GB"/>
        </w:rPr>
        <w:t xml:space="preserve">Executive Officer </w:t>
      </w:r>
      <w:r w:rsidRPr="00D63DA4">
        <w:rPr>
          <w:lang w:val="en-GB"/>
        </w:rPr>
        <w:tab/>
      </w:r>
      <w:r w:rsidRPr="00D63DA4">
        <w:rPr>
          <w:lang w:val="en-GB"/>
        </w:rPr>
        <w:tab/>
      </w:r>
      <w:r w:rsidRPr="00D63DA4">
        <w:rPr>
          <w:lang w:val="en-GB"/>
        </w:rPr>
        <w:tab/>
      </w:r>
      <w:r w:rsidRPr="00D63DA4">
        <w:rPr>
          <w:lang w:val="en-GB"/>
        </w:rPr>
        <w:tab/>
      </w:r>
      <w:r w:rsidRPr="00D63DA4">
        <w:rPr>
          <w:lang w:val="en-GB"/>
        </w:rPr>
        <w:tab/>
        <w:t xml:space="preserve"> </w:t>
      </w:r>
      <w:r w:rsidRPr="00D63DA4">
        <w:rPr>
          <w:lang w:val="en-GB"/>
        </w:rPr>
        <w:tab/>
      </w:r>
      <w:r w:rsidRPr="00D63DA4">
        <w:rPr>
          <w:lang w:val="en-GB"/>
        </w:rPr>
        <w:tab/>
        <w:t>Presiding Member</w:t>
      </w:r>
    </w:p>
    <w:p w:rsidR="00BF3546" w:rsidRPr="00D63DA4" w:rsidRDefault="00BF3546" w:rsidP="00BF3546">
      <w:pPr>
        <w:rPr>
          <w:lang w:val="en-GB"/>
        </w:rPr>
      </w:pPr>
    </w:p>
    <w:p w:rsidR="00BF3546" w:rsidRPr="00D63DA4" w:rsidRDefault="00BF3546" w:rsidP="00BF3546">
      <w:pPr>
        <w:rPr>
          <w:lang w:val="en-GB"/>
        </w:rPr>
      </w:pPr>
    </w:p>
    <w:p w:rsidR="00BF3546" w:rsidRPr="00D63DA4" w:rsidRDefault="00BF3546" w:rsidP="00BF3546">
      <w:pPr>
        <w:rPr>
          <w:lang w:val="en-GB"/>
        </w:rPr>
      </w:pPr>
    </w:p>
    <w:p w:rsidR="00BF3546" w:rsidRPr="00D63DA4" w:rsidRDefault="00BF3546" w:rsidP="00BF3546">
      <w:pPr>
        <w:rPr>
          <w:lang w:val="en-GB"/>
        </w:rPr>
      </w:pPr>
    </w:p>
    <w:p w:rsidR="00E628EF" w:rsidRDefault="00E628EF">
      <w:pPr>
        <w:rPr>
          <w:i/>
          <w:lang w:val="en-GB"/>
        </w:rPr>
      </w:pPr>
      <w:r>
        <w:rPr>
          <w:i/>
          <w:lang w:val="en-GB"/>
        </w:rPr>
        <w:br w:type="page"/>
      </w:r>
    </w:p>
    <w:p w:rsidR="00BF3546" w:rsidRPr="00D63DA4" w:rsidRDefault="00BF3546" w:rsidP="00BF3546">
      <w:pPr>
        <w:jc w:val="right"/>
        <w:rPr>
          <w:i/>
          <w:lang w:val="en-GB"/>
        </w:rPr>
      </w:pPr>
      <w:r w:rsidRPr="00D63DA4">
        <w:rPr>
          <w:i/>
          <w:lang w:val="en-GB"/>
        </w:rPr>
        <w:lastRenderedPageBreak/>
        <w:t>Annex</w:t>
      </w:r>
    </w:p>
    <w:p w:rsidR="00BF3546" w:rsidRPr="00D63DA4" w:rsidRDefault="00BF3546" w:rsidP="00BF3546">
      <w:pPr>
        <w:jc w:val="center"/>
        <w:rPr>
          <w:lang w:val="en-GB"/>
        </w:rPr>
      </w:pPr>
      <w:r w:rsidRPr="00D63DA4">
        <w:rPr>
          <w:b/>
          <w:lang w:val="en-GB"/>
        </w:rPr>
        <w:t>ABBREVIATIONS AND ACRONYMS</w:t>
      </w:r>
    </w:p>
    <w:p w:rsidR="00BF3546" w:rsidRPr="00D63DA4" w:rsidRDefault="00BF3546" w:rsidP="00BF3546">
      <w:pPr>
        <w:autoSpaceDE w:val="0"/>
        <w:jc w:val="both"/>
        <w:rPr>
          <w:lang w:val="en-GB"/>
        </w:rPr>
      </w:pPr>
    </w:p>
    <w:p w:rsidR="00BF3546" w:rsidRPr="00D63DA4" w:rsidRDefault="00BF3546" w:rsidP="00BF3546">
      <w:pPr>
        <w:autoSpaceDE w:val="0"/>
        <w:jc w:val="both"/>
        <w:rPr>
          <w:lang w:val="en-GB"/>
        </w:rPr>
      </w:pPr>
      <w:r w:rsidRPr="00D63DA4">
        <w:rPr>
          <w:b/>
          <w:lang w:val="en-GB"/>
        </w:rPr>
        <w:t xml:space="preserve">CCIU </w:t>
      </w:r>
      <w:r w:rsidRPr="00D63DA4">
        <w:rPr>
          <w:lang w:val="en-GB"/>
        </w:rPr>
        <w:t>- Central Criminal Investigation Unit</w:t>
      </w:r>
    </w:p>
    <w:p w:rsidR="00BF3546" w:rsidRPr="00D63DA4" w:rsidRDefault="00BF3546" w:rsidP="00BF3546">
      <w:pPr>
        <w:autoSpaceDE w:val="0"/>
        <w:jc w:val="both"/>
        <w:rPr>
          <w:lang w:val="en-GB"/>
        </w:rPr>
      </w:pPr>
      <w:r w:rsidRPr="00D63DA4">
        <w:rPr>
          <w:b/>
          <w:lang w:val="en-GB"/>
        </w:rPr>
        <w:t xml:space="preserve">CCPR – </w:t>
      </w:r>
      <w:r w:rsidRPr="00D63DA4">
        <w:rPr>
          <w:lang w:val="en-GB"/>
        </w:rPr>
        <w:t>International Covenant on Civil and Political Rights</w:t>
      </w:r>
    </w:p>
    <w:p w:rsidR="00BF3546" w:rsidRPr="00D63DA4" w:rsidRDefault="00BF3546" w:rsidP="00BF3546">
      <w:pPr>
        <w:autoSpaceDE w:val="0"/>
        <w:jc w:val="both"/>
        <w:rPr>
          <w:lang w:val="en-GB"/>
        </w:rPr>
      </w:pPr>
      <w:r w:rsidRPr="00D63DA4">
        <w:rPr>
          <w:b/>
          <w:lang w:val="en-GB"/>
        </w:rPr>
        <w:t xml:space="preserve">DOJ </w:t>
      </w:r>
      <w:r w:rsidRPr="00D63DA4">
        <w:rPr>
          <w:lang w:val="en-GB"/>
        </w:rPr>
        <w:t>- Department of Justice</w:t>
      </w:r>
    </w:p>
    <w:p w:rsidR="00BF3546" w:rsidRPr="00D63DA4" w:rsidRDefault="00BF3546" w:rsidP="00BF3546">
      <w:pPr>
        <w:autoSpaceDE w:val="0"/>
        <w:jc w:val="both"/>
        <w:rPr>
          <w:lang w:val="en-GB"/>
        </w:rPr>
      </w:pPr>
      <w:r w:rsidRPr="00D63DA4">
        <w:rPr>
          <w:b/>
          <w:lang w:val="en-GB"/>
        </w:rPr>
        <w:t>DPPO</w:t>
      </w:r>
      <w:r w:rsidRPr="00D63DA4">
        <w:rPr>
          <w:lang w:val="en-GB"/>
        </w:rPr>
        <w:t xml:space="preserve"> - District Public Prosecutor’s Office</w:t>
      </w:r>
    </w:p>
    <w:p w:rsidR="00BF3546" w:rsidRPr="00D63DA4" w:rsidRDefault="00BF3546" w:rsidP="00BF3546">
      <w:pPr>
        <w:autoSpaceDE w:val="0"/>
        <w:jc w:val="both"/>
        <w:rPr>
          <w:lang w:val="en-GB"/>
        </w:rPr>
      </w:pPr>
      <w:r w:rsidRPr="00D63DA4">
        <w:rPr>
          <w:b/>
          <w:lang w:val="en-GB"/>
        </w:rPr>
        <w:t>ECHR</w:t>
      </w:r>
      <w:r w:rsidRPr="00D63DA4">
        <w:rPr>
          <w:lang w:val="en-GB"/>
        </w:rPr>
        <w:t xml:space="preserve"> - European Convention on Human Rights</w:t>
      </w:r>
    </w:p>
    <w:p w:rsidR="00BF3546" w:rsidRPr="00D63DA4" w:rsidRDefault="00BF3546" w:rsidP="00BF3546">
      <w:pPr>
        <w:autoSpaceDE w:val="0"/>
        <w:jc w:val="both"/>
        <w:rPr>
          <w:lang w:val="en-GB"/>
        </w:rPr>
      </w:pPr>
      <w:r w:rsidRPr="00D63DA4">
        <w:rPr>
          <w:b/>
          <w:lang w:val="en-GB"/>
        </w:rPr>
        <w:t xml:space="preserve">ECtHR </w:t>
      </w:r>
      <w:r w:rsidRPr="00D63DA4">
        <w:rPr>
          <w:lang w:val="en-GB"/>
        </w:rPr>
        <w:t xml:space="preserve">- European Court of Human Rights </w:t>
      </w:r>
    </w:p>
    <w:p w:rsidR="00BF3546" w:rsidRPr="00D63DA4" w:rsidRDefault="00BF3546" w:rsidP="00BF3546">
      <w:pPr>
        <w:autoSpaceDE w:val="0"/>
        <w:jc w:val="both"/>
        <w:rPr>
          <w:lang w:val="en-GB"/>
        </w:rPr>
      </w:pPr>
      <w:r w:rsidRPr="00D63DA4">
        <w:rPr>
          <w:b/>
          <w:lang w:val="en-GB"/>
        </w:rPr>
        <w:t>EU</w:t>
      </w:r>
      <w:r w:rsidRPr="00D63DA4">
        <w:rPr>
          <w:lang w:val="en-GB"/>
        </w:rPr>
        <w:t xml:space="preserve"> – European Union</w:t>
      </w:r>
    </w:p>
    <w:p w:rsidR="00BF3546" w:rsidRPr="00D63DA4" w:rsidRDefault="00BF3546" w:rsidP="00BF3546">
      <w:pPr>
        <w:autoSpaceDE w:val="0"/>
        <w:jc w:val="both"/>
        <w:rPr>
          <w:lang w:val="en-GB"/>
        </w:rPr>
      </w:pPr>
      <w:r w:rsidRPr="00D63DA4">
        <w:rPr>
          <w:b/>
          <w:lang w:val="en-GB"/>
        </w:rPr>
        <w:t>EULEX</w:t>
      </w:r>
      <w:r w:rsidRPr="00D63DA4">
        <w:rPr>
          <w:lang w:val="en-GB"/>
        </w:rPr>
        <w:t xml:space="preserve"> - European Union Rule of Law Mission in Kosovo</w:t>
      </w:r>
    </w:p>
    <w:p w:rsidR="00BF3546" w:rsidRPr="00D63DA4" w:rsidRDefault="00BF3546" w:rsidP="00BF3546">
      <w:pPr>
        <w:autoSpaceDE w:val="0"/>
        <w:jc w:val="both"/>
        <w:rPr>
          <w:lang w:val="en-GB"/>
        </w:rPr>
      </w:pPr>
      <w:r w:rsidRPr="00D63DA4">
        <w:rPr>
          <w:b/>
          <w:lang w:val="en-GB"/>
        </w:rPr>
        <w:t xml:space="preserve">FRY </w:t>
      </w:r>
      <w:r w:rsidRPr="00D63DA4">
        <w:rPr>
          <w:lang w:val="en-GB"/>
        </w:rPr>
        <w:t>- Federal Republic of Yugoslavia</w:t>
      </w:r>
    </w:p>
    <w:p w:rsidR="00BF3546" w:rsidRPr="00D63DA4" w:rsidRDefault="00BF3546" w:rsidP="00BF3546">
      <w:pPr>
        <w:autoSpaceDE w:val="0"/>
        <w:jc w:val="both"/>
        <w:rPr>
          <w:lang w:val="en-GB"/>
        </w:rPr>
      </w:pPr>
      <w:r w:rsidRPr="00D63DA4">
        <w:rPr>
          <w:b/>
          <w:lang w:val="en-GB"/>
        </w:rPr>
        <w:t>FYROM</w:t>
      </w:r>
      <w:r w:rsidRPr="00D63DA4">
        <w:rPr>
          <w:lang w:val="en-GB"/>
        </w:rPr>
        <w:t xml:space="preserve"> - Former Yugoslav Republic of Macedonia</w:t>
      </w:r>
    </w:p>
    <w:p w:rsidR="00BF3546" w:rsidRPr="00D63DA4" w:rsidRDefault="00BF3546" w:rsidP="00BF3546">
      <w:pPr>
        <w:autoSpaceDE w:val="0"/>
        <w:jc w:val="both"/>
        <w:rPr>
          <w:lang w:val="en-GB"/>
        </w:rPr>
      </w:pPr>
      <w:r w:rsidRPr="00D63DA4">
        <w:rPr>
          <w:b/>
          <w:lang w:val="en-GB"/>
        </w:rPr>
        <w:t xml:space="preserve">HRAP </w:t>
      </w:r>
      <w:r w:rsidRPr="00D63DA4">
        <w:rPr>
          <w:lang w:val="en-GB"/>
        </w:rPr>
        <w:t>- Human Rights Advisory Panel</w:t>
      </w:r>
    </w:p>
    <w:p w:rsidR="00BF3546" w:rsidRPr="00D63DA4" w:rsidRDefault="00BF3546" w:rsidP="00BF3546">
      <w:pPr>
        <w:autoSpaceDE w:val="0"/>
        <w:jc w:val="both"/>
        <w:rPr>
          <w:lang w:val="en-GB"/>
        </w:rPr>
      </w:pPr>
      <w:r w:rsidRPr="00D63DA4">
        <w:rPr>
          <w:b/>
          <w:lang w:val="en-GB"/>
        </w:rPr>
        <w:t>HRC</w:t>
      </w:r>
      <w:r w:rsidRPr="00D63DA4">
        <w:rPr>
          <w:lang w:val="en-GB"/>
        </w:rPr>
        <w:t xml:space="preserve"> - United Nation Human Rights Committee</w:t>
      </w:r>
    </w:p>
    <w:p w:rsidR="00BF3546" w:rsidRPr="00D63DA4" w:rsidRDefault="00BF3546" w:rsidP="00BF3546">
      <w:pPr>
        <w:autoSpaceDE w:val="0"/>
        <w:jc w:val="both"/>
        <w:rPr>
          <w:lang w:val="en-GB"/>
        </w:rPr>
      </w:pPr>
      <w:r w:rsidRPr="00D63DA4">
        <w:rPr>
          <w:b/>
          <w:lang w:val="en-GB"/>
        </w:rPr>
        <w:t xml:space="preserve">HQ </w:t>
      </w:r>
      <w:r w:rsidRPr="00D63DA4">
        <w:rPr>
          <w:lang w:val="en-GB"/>
        </w:rPr>
        <w:t>- Headquarters</w:t>
      </w:r>
    </w:p>
    <w:p w:rsidR="00BF3546" w:rsidRPr="00D63DA4" w:rsidRDefault="00BF3546" w:rsidP="00BF3546">
      <w:pPr>
        <w:autoSpaceDE w:val="0"/>
        <w:jc w:val="both"/>
        <w:rPr>
          <w:lang w:val="en-GB"/>
        </w:rPr>
      </w:pPr>
      <w:r w:rsidRPr="00D63DA4">
        <w:rPr>
          <w:b/>
          <w:lang w:val="en-GB"/>
        </w:rPr>
        <w:t xml:space="preserve">IACtHR </w:t>
      </w:r>
      <w:r w:rsidRPr="00D63DA4">
        <w:rPr>
          <w:lang w:val="en-GB"/>
        </w:rPr>
        <w:t>– Inter-American Court of Human Rights</w:t>
      </w:r>
    </w:p>
    <w:p w:rsidR="00BF3546" w:rsidRPr="00D63DA4" w:rsidRDefault="00BF3546" w:rsidP="00BF3546">
      <w:pPr>
        <w:autoSpaceDE w:val="0"/>
        <w:jc w:val="both"/>
        <w:rPr>
          <w:lang w:val="en-GB"/>
        </w:rPr>
      </w:pPr>
      <w:r w:rsidRPr="00D63DA4">
        <w:rPr>
          <w:b/>
          <w:lang w:val="en-GB"/>
        </w:rPr>
        <w:t>ICMP</w:t>
      </w:r>
      <w:r w:rsidRPr="00D63DA4">
        <w:rPr>
          <w:lang w:val="en-GB"/>
        </w:rPr>
        <w:t xml:space="preserve"> - International Commission of Missing Persons</w:t>
      </w:r>
    </w:p>
    <w:p w:rsidR="00BF3546" w:rsidRPr="00D63DA4" w:rsidRDefault="00BF3546" w:rsidP="00BF3546">
      <w:pPr>
        <w:autoSpaceDE w:val="0"/>
        <w:jc w:val="both"/>
        <w:rPr>
          <w:lang w:val="en-GB"/>
        </w:rPr>
      </w:pPr>
      <w:r w:rsidRPr="00D63DA4">
        <w:rPr>
          <w:b/>
          <w:lang w:val="en-GB"/>
        </w:rPr>
        <w:t>ICRC</w:t>
      </w:r>
      <w:r w:rsidRPr="00D63DA4">
        <w:rPr>
          <w:lang w:val="en-GB"/>
        </w:rPr>
        <w:t xml:space="preserve"> - International Committee of the Red Cross</w:t>
      </w:r>
    </w:p>
    <w:p w:rsidR="00BF3546" w:rsidRPr="00D63DA4" w:rsidRDefault="00BF3546" w:rsidP="00BF3546">
      <w:pPr>
        <w:autoSpaceDE w:val="0"/>
        <w:jc w:val="both"/>
        <w:rPr>
          <w:lang w:val="en-GB"/>
        </w:rPr>
      </w:pPr>
      <w:r w:rsidRPr="00D63DA4">
        <w:rPr>
          <w:b/>
          <w:lang w:val="en-GB"/>
        </w:rPr>
        <w:t xml:space="preserve">ICTY </w:t>
      </w:r>
      <w:r w:rsidRPr="00D63DA4">
        <w:rPr>
          <w:lang w:val="en-GB"/>
        </w:rPr>
        <w:t>- International Criminal Tribunal for former Yugoslavia</w:t>
      </w:r>
    </w:p>
    <w:p w:rsidR="00BF3546" w:rsidRPr="00D63DA4" w:rsidRDefault="00BF3546" w:rsidP="00BF3546">
      <w:pPr>
        <w:autoSpaceDE w:val="0"/>
        <w:jc w:val="both"/>
        <w:rPr>
          <w:lang w:val="en-GB"/>
        </w:rPr>
      </w:pPr>
      <w:r w:rsidRPr="00D63DA4">
        <w:rPr>
          <w:b/>
          <w:lang w:val="en-GB"/>
        </w:rPr>
        <w:t xml:space="preserve">IPO – </w:t>
      </w:r>
      <w:r w:rsidRPr="00D63DA4">
        <w:rPr>
          <w:lang w:val="en-GB"/>
        </w:rPr>
        <w:t>International Police Officer</w:t>
      </w:r>
    </w:p>
    <w:p w:rsidR="00BF3546" w:rsidRPr="00D63DA4" w:rsidRDefault="00BF3546" w:rsidP="00BF3546">
      <w:pPr>
        <w:autoSpaceDE w:val="0"/>
        <w:jc w:val="both"/>
        <w:rPr>
          <w:lang w:val="en-GB"/>
        </w:rPr>
      </w:pPr>
      <w:r w:rsidRPr="00D63DA4">
        <w:rPr>
          <w:b/>
          <w:lang w:val="en-GB"/>
        </w:rPr>
        <w:t>KFOR</w:t>
      </w:r>
      <w:r w:rsidRPr="00D63DA4">
        <w:rPr>
          <w:lang w:val="en-GB"/>
        </w:rPr>
        <w:t xml:space="preserve"> - International Security Force (commonly known as Kosovo Force)</w:t>
      </w:r>
    </w:p>
    <w:p w:rsidR="00BF3546" w:rsidRPr="00D63DA4" w:rsidRDefault="00BF3546" w:rsidP="00BF3546">
      <w:pPr>
        <w:autoSpaceDE w:val="0"/>
        <w:jc w:val="both"/>
        <w:rPr>
          <w:lang w:val="en-GB"/>
        </w:rPr>
      </w:pPr>
      <w:r w:rsidRPr="00D63DA4">
        <w:rPr>
          <w:b/>
          <w:lang w:val="en-GB"/>
        </w:rPr>
        <w:t>KLA</w:t>
      </w:r>
      <w:r w:rsidRPr="00D63DA4">
        <w:rPr>
          <w:lang w:val="en-GB"/>
        </w:rPr>
        <w:t xml:space="preserve"> - Kosovo Liberation Army</w:t>
      </w:r>
    </w:p>
    <w:p w:rsidR="00BF3546" w:rsidRPr="00D63DA4" w:rsidRDefault="00BF3546" w:rsidP="00BF3546">
      <w:pPr>
        <w:autoSpaceDE w:val="0"/>
        <w:jc w:val="both"/>
        <w:rPr>
          <w:lang w:val="en-GB"/>
        </w:rPr>
      </w:pPr>
      <w:r w:rsidRPr="00D63DA4">
        <w:rPr>
          <w:b/>
          <w:lang w:val="en-GB"/>
        </w:rPr>
        <w:t xml:space="preserve">MPU </w:t>
      </w:r>
      <w:r w:rsidRPr="00D63DA4">
        <w:rPr>
          <w:lang w:val="en-GB"/>
        </w:rPr>
        <w:t>- Missing Persons Unit</w:t>
      </w:r>
    </w:p>
    <w:p w:rsidR="00BF3546" w:rsidRPr="00D63DA4" w:rsidRDefault="00BF3546" w:rsidP="00BF3546">
      <w:pPr>
        <w:autoSpaceDE w:val="0"/>
        <w:jc w:val="both"/>
        <w:rPr>
          <w:lang w:val="en-GB"/>
        </w:rPr>
      </w:pPr>
      <w:r w:rsidRPr="00D63DA4">
        <w:rPr>
          <w:b/>
          <w:lang w:val="en-GB"/>
        </w:rPr>
        <w:t>NATO</w:t>
      </w:r>
      <w:r w:rsidRPr="00D63DA4">
        <w:rPr>
          <w:lang w:val="en-GB"/>
        </w:rPr>
        <w:t xml:space="preserve"> - North Atlantic Treaty Organization </w:t>
      </w:r>
    </w:p>
    <w:p w:rsidR="00BF3546" w:rsidRPr="00D63DA4" w:rsidRDefault="00BF3546" w:rsidP="00BF3546">
      <w:pPr>
        <w:autoSpaceDE w:val="0"/>
        <w:jc w:val="both"/>
        <w:rPr>
          <w:lang w:val="en-GB"/>
        </w:rPr>
      </w:pPr>
      <w:r w:rsidRPr="00D63DA4">
        <w:rPr>
          <w:b/>
          <w:lang w:val="en-GB"/>
        </w:rPr>
        <w:t>OMPF</w:t>
      </w:r>
      <w:r w:rsidRPr="00D63DA4">
        <w:rPr>
          <w:lang w:val="en-GB"/>
        </w:rPr>
        <w:t xml:space="preserve"> - Office on Missing Persons and Forensics</w:t>
      </w:r>
    </w:p>
    <w:p w:rsidR="00BF3546" w:rsidRPr="00D63DA4" w:rsidRDefault="00BF3546" w:rsidP="00BF3546">
      <w:pPr>
        <w:autoSpaceDE w:val="0"/>
        <w:jc w:val="both"/>
        <w:rPr>
          <w:lang w:val="en-GB"/>
        </w:rPr>
      </w:pPr>
      <w:r w:rsidRPr="00D63DA4">
        <w:rPr>
          <w:b/>
          <w:lang w:val="en-GB"/>
        </w:rPr>
        <w:t>OSCE</w:t>
      </w:r>
      <w:r w:rsidRPr="00D63DA4">
        <w:rPr>
          <w:lang w:val="en-GB"/>
        </w:rPr>
        <w:t xml:space="preserve"> - Organization for Security and Cooperation in Europe</w:t>
      </w:r>
    </w:p>
    <w:p w:rsidR="00BF3546" w:rsidRPr="00D63DA4" w:rsidRDefault="00BF3546" w:rsidP="00BF3546">
      <w:pPr>
        <w:autoSpaceDE w:val="0"/>
        <w:jc w:val="both"/>
        <w:rPr>
          <w:lang w:val="en-GB"/>
        </w:rPr>
      </w:pPr>
      <w:r w:rsidRPr="00D63DA4">
        <w:rPr>
          <w:b/>
          <w:lang w:val="en-GB"/>
        </w:rPr>
        <w:t>RIU</w:t>
      </w:r>
      <w:r w:rsidRPr="00D63DA4">
        <w:rPr>
          <w:lang w:val="en-GB"/>
        </w:rPr>
        <w:t xml:space="preserve"> - Regional Investigation Unit</w:t>
      </w:r>
    </w:p>
    <w:p w:rsidR="00BF3546" w:rsidRPr="00D63DA4" w:rsidRDefault="00BF3546" w:rsidP="00BF3546">
      <w:pPr>
        <w:autoSpaceDE w:val="0"/>
        <w:jc w:val="both"/>
        <w:rPr>
          <w:b/>
          <w:lang w:val="en-GB"/>
        </w:rPr>
      </w:pPr>
      <w:r w:rsidRPr="00D63DA4">
        <w:rPr>
          <w:b/>
          <w:lang w:val="en-GB"/>
        </w:rPr>
        <w:t xml:space="preserve">SIU – </w:t>
      </w:r>
      <w:r w:rsidRPr="00D63DA4">
        <w:rPr>
          <w:lang w:val="en-GB"/>
        </w:rPr>
        <w:t>Special Investigations Unit of the UNMIK Security</w:t>
      </w:r>
    </w:p>
    <w:p w:rsidR="00BF3546" w:rsidRPr="00D63DA4" w:rsidRDefault="00BF3546" w:rsidP="00BF3546">
      <w:pPr>
        <w:autoSpaceDE w:val="0"/>
        <w:jc w:val="both"/>
        <w:rPr>
          <w:lang w:val="en-GB"/>
        </w:rPr>
      </w:pPr>
      <w:r w:rsidRPr="00D63DA4">
        <w:rPr>
          <w:b/>
          <w:lang w:val="en-GB"/>
        </w:rPr>
        <w:t>SRSG</w:t>
      </w:r>
      <w:r w:rsidRPr="00D63DA4">
        <w:rPr>
          <w:lang w:val="en-GB"/>
        </w:rPr>
        <w:t xml:space="preserve"> - Special Representative of the Secretary-General </w:t>
      </w:r>
    </w:p>
    <w:p w:rsidR="00BF3546" w:rsidRPr="00D63DA4" w:rsidRDefault="00BF3546" w:rsidP="00BF3546">
      <w:pPr>
        <w:autoSpaceDE w:val="0"/>
        <w:jc w:val="both"/>
        <w:rPr>
          <w:lang w:val="en-GB"/>
        </w:rPr>
      </w:pPr>
      <w:r w:rsidRPr="00D63DA4">
        <w:rPr>
          <w:b/>
          <w:lang w:val="en-GB"/>
        </w:rPr>
        <w:t>UN</w:t>
      </w:r>
      <w:r w:rsidRPr="00D63DA4">
        <w:rPr>
          <w:lang w:val="en-GB"/>
        </w:rPr>
        <w:t xml:space="preserve"> - United Nations</w:t>
      </w:r>
    </w:p>
    <w:p w:rsidR="00BF3546" w:rsidRPr="00D63DA4" w:rsidRDefault="00BF3546" w:rsidP="00BF3546">
      <w:pPr>
        <w:autoSpaceDE w:val="0"/>
        <w:jc w:val="both"/>
        <w:rPr>
          <w:lang w:val="en-GB"/>
        </w:rPr>
      </w:pPr>
      <w:r w:rsidRPr="00D63DA4">
        <w:rPr>
          <w:b/>
          <w:lang w:val="en-GB"/>
        </w:rPr>
        <w:t xml:space="preserve">UNHCR </w:t>
      </w:r>
      <w:r w:rsidRPr="00D63DA4">
        <w:rPr>
          <w:lang w:val="en-GB"/>
        </w:rPr>
        <w:t>- United Nations High Commissioner for Refugees</w:t>
      </w:r>
    </w:p>
    <w:p w:rsidR="00BF3546" w:rsidRPr="00D63DA4" w:rsidRDefault="00BF3546" w:rsidP="00BF3546">
      <w:pPr>
        <w:autoSpaceDE w:val="0"/>
        <w:jc w:val="both"/>
        <w:rPr>
          <w:lang w:val="en-GB"/>
        </w:rPr>
      </w:pPr>
      <w:r w:rsidRPr="00D63DA4">
        <w:rPr>
          <w:b/>
          <w:lang w:val="en-GB"/>
        </w:rPr>
        <w:t>UNMIK</w:t>
      </w:r>
      <w:r w:rsidRPr="00D63DA4">
        <w:rPr>
          <w:lang w:val="en-GB"/>
        </w:rPr>
        <w:t xml:space="preserve"> - United Nations Interim Administration Mission in Kosovo </w:t>
      </w:r>
    </w:p>
    <w:p w:rsidR="00BF3546" w:rsidRPr="00D63DA4" w:rsidRDefault="00BF3546" w:rsidP="00BF3546">
      <w:pPr>
        <w:autoSpaceDE w:val="0"/>
        <w:jc w:val="both"/>
        <w:rPr>
          <w:lang w:val="en-GB"/>
        </w:rPr>
      </w:pPr>
      <w:r w:rsidRPr="00D63DA4">
        <w:rPr>
          <w:b/>
          <w:lang w:val="en-GB"/>
        </w:rPr>
        <w:t>VRIC</w:t>
      </w:r>
      <w:r w:rsidRPr="00D63DA4">
        <w:rPr>
          <w:lang w:val="en-GB"/>
        </w:rPr>
        <w:t xml:space="preserve"> - Victim Recovery and Identification Commission</w:t>
      </w:r>
    </w:p>
    <w:p w:rsidR="00BF3546" w:rsidRPr="00D63DA4" w:rsidRDefault="00BF3546" w:rsidP="00BF3546">
      <w:pPr>
        <w:autoSpaceDE w:val="0"/>
        <w:jc w:val="both"/>
        <w:rPr>
          <w:lang w:val="en-GB"/>
        </w:rPr>
      </w:pPr>
      <w:r w:rsidRPr="00D63DA4">
        <w:rPr>
          <w:b/>
          <w:lang w:val="en-GB"/>
        </w:rPr>
        <w:t xml:space="preserve">WCIU </w:t>
      </w:r>
      <w:r w:rsidRPr="00D63DA4">
        <w:rPr>
          <w:lang w:val="en-GB"/>
        </w:rPr>
        <w:t>- War Crimes Investigation Unit</w:t>
      </w:r>
    </w:p>
    <w:p w:rsidR="00BF3546" w:rsidRPr="00D63DA4" w:rsidRDefault="00BF3546" w:rsidP="00D04174">
      <w:pPr>
        <w:tabs>
          <w:tab w:val="left" w:pos="709"/>
        </w:tabs>
        <w:suppressAutoHyphens/>
        <w:autoSpaceDE w:val="0"/>
        <w:ind w:left="450"/>
        <w:jc w:val="both"/>
        <w:rPr>
          <w:lang w:val="en-GB"/>
        </w:rPr>
      </w:pPr>
    </w:p>
    <w:p w:rsidR="003E3F85" w:rsidRPr="00C75650" w:rsidRDefault="003E3F85" w:rsidP="003E3F85">
      <w:pPr>
        <w:tabs>
          <w:tab w:val="left" w:pos="630"/>
          <w:tab w:val="left" w:pos="2790"/>
        </w:tabs>
        <w:suppressAutoHyphens/>
        <w:autoSpaceDE w:val="0"/>
        <w:jc w:val="both"/>
        <w:rPr>
          <w:lang w:val="en-GB"/>
        </w:rPr>
      </w:pPr>
    </w:p>
    <w:p w:rsidR="003E3F85" w:rsidRPr="00C75650" w:rsidRDefault="003E3F85" w:rsidP="003E3F85">
      <w:pPr>
        <w:tabs>
          <w:tab w:val="left" w:pos="630"/>
          <w:tab w:val="left" w:pos="2790"/>
        </w:tabs>
        <w:suppressAutoHyphens/>
        <w:autoSpaceDE w:val="0"/>
        <w:jc w:val="both"/>
        <w:rPr>
          <w:lang w:val="en-GB"/>
        </w:rPr>
      </w:pPr>
    </w:p>
    <w:p w:rsidR="00546DB5" w:rsidRPr="001F7985" w:rsidRDefault="00546DB5">
      <w:pPr>
        <w:autoSpaceDE w:val="0"/>
        <w:jc w:val="both"/>
        <w:rPr>
          <w:lang w:val="en-GB"/>
        </w:rPr>
      </w:pPr>
    </w:p>
    <w:sectPr w:rsidR="00546DB5" w:rsidRPr="001F7985" w:rsidSect="00DC5B20">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B6E" w:rsidRDefault="00A83B6E">
      <w:r>
        <w:separator/>
      </w:r>
    </w:p>
  </w:endnote>
  <w:endnote w:type="continuationSeparator" w:id="0">
    <w:p w:rsidR="00A83B6E" w:rsidRDefault="00A83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B6E" w:rsidRDefault="00A83B6E">
      <w:r>
        <w:separator/>
      </w:r>
    </w:p>
  </w:footnote>
  <w:footnote w:type="continuationSeparator" w:id="0">
    <w:p w:rsidR="00A83B6E" w:rsidRDefault="00A83B6E">
      <w:r>
        <w:continuationSeparator/>
      </w:r>
    </w:p>
  </w:footnote>
  <w:footnote w:id="1">
    <w:p w:rsidR="002D73EB" w:rsidRPr="000C1973" w:rsidRDefault="002D73EB" w:rsidP="00022E69">
      <w:pPr>
        <w:pStyle w:val="FootnoteText"/>
        <w:rPr>
          <w:lang w:val="en-US"/>
        </w:rPr>
      </w:pPr>
      <w:r w:rsidRPr="000C1973">
        <w:rPr>
          <w:rStyle w:val="FootnoteReference"/>
          <w:sz w:val="20"/>
        </w:rPr>
        <w:footnoteRef/>
      </w:r>
      <w:r w:rsidR="00424AA8">
        <w:rPr>
          <w:rFonts w:ascii="Times New Roman" w:hAnsi="Times New Roman"/>
          <w:sz w:val="20"/>
        </w:rPr>
        <w:t xml:space="preserve"> </w:t>
      </w:r>
      <w:r w:rsidRPr="00680EF0">
        <w:rPr>
          <w:rFonts w:ascii="Times New Roman" w:hAnsi="Times New Roman"/>
          <w:sz w:val="20"/>
        </w:rPr>
        <w:t>A list of abbreviations and acronyms contained in the text can be found in the attached Annex.</w:t>
      </w:r>
    </w:p>
  </w:footnote>
  <w:footnote w:id="2">
    <w:p w:rsidR="002D73EB" w:rsidRPr="001732BF" w:rsidRDefault="002D73EB" w:rsidP="00680EF0">
      <w:pPr>
        <w:pStyle w:val="FootnoteText"/>
        <w:jc w:val="both"/>
        <w:rPr>
          <w:rFonts w:ascii="Times New Roman" w:hAnsi="Times New Roman"/>
          <w:sz w:val="20"/>
        </w:rPr>
      </w:pPr>
      <w:r w:rsidRPr="001732BF">
        <w:rPr>
          <w:rStyle w:val="FootnoteReference"/>
          <w:rFonts w:ascii="Times New Roman" w:hAnsi="Times New Roman"/>
          <w:sz w:val="20"/>
        </w:rPr>
        <w:footnoteRef/>
      </w:r>
      <w:r w:rsidR="00424AA8">
        <w:rPr>
          <w:rFonts w:ascii="Times New Roman" w:hAnsi="Times New Roman"/>
          <w:sz w:val="20"/>
        </w:rPr>
        <w:t xml:space="preserve"> </w:t>
      </w:r>
      <w:r w:rsidRPr="001732BF">
        <w:rPr>
          <w:rFonts w:ascii="Times New Roman" w:hAnsi="Times New Roman"/>
          <w:sz w:val="20"/>
        </w:rPr>
        <w:t>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1732BF">
        <w:rPr>
          <w:rFonts w:ascii="Times New Roman" w:hAnsi="Times New Roman"/>
          <w:i/>
          <w:sz w:val="20"/>
        </w:rPr>
        <w:t xml:space="preserve"> Behrami and Behrami v. France</w:t>
      </w:r>
      <w:r w:rsidRPr="001732BF">
        <w:rPr>
          <w:rFonts w:ascii="Times New Roman" w:hAnsi="Times New Roman"/>
          <w:sz w:val="20"/>
        </w:rPr>
        <w:t xml:space="preserve"> and </w:t>
      </w:r>
      <w:r w:rsidRPr="001732BF">
        <w:rPr>
          <w:rFonts w:ascii="Times New Roman" w:hAnsi="Times New Roman"/>
          <w:i/>
          <w:sz w:val="20"/>
        </w:rPr>
        <w:t>Saramati v. France, Germany and Norway</w:t>
      </w:r>
      <w:r w:rsidRPr="001732BF">
        <w:rPr>
          <w:rFonts w:ascii="Times New Roman" w:hAnsi="Times New Roman"/>
          <w:sz w:val="20"/>
        </w:rPr>
        <w:t xml:space="preserve">, nos. </w:t>
      </w:r>
      <w:r w:rsidRPr="001732BF">
        <w:rPr>
          <w:rStyle w:val="sb8d990e2"/>
          <w:rFonts w:ascii="Times New Roman" w:hAnsi="Times New Roman"/>
          <w:sz w:val="20"/>
        </w:rPr>
        <w:t>71412/01 and</w:t>
      </w:r>
      <w:r w:rsidRPr="001732BF">
        <w:rPr>
          <w:rFonts w:ascii="Times New Roman" w:hAnsi="Times New Roman"/>
          <w:sz w:val="20"/>
        </w:rPr>
        <w:t xml:space="preserve"> </w:t>
      </w:r>
      <w:r w:rsidRPr="001732BF">
        <w:rPr>
          <w:rStyle w:val="sb8d990e2"/>
          <w:rFonts w:ascii="Times New Roman" w:hAnsi="Times New Roman"/>
          <w:sz w:val="20"/>
        </w:rPr>
        <w:t xml:space="preserve">78166/01, </w:t>
      </w:r>
      <w:r w:rsidRPr="001732BF">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1732BF">
          <w:rPr>
            <w:rStyle w:val="Hyperlink"/>
            <w:rFonts w:ascii="Times New Roman" w:hAnsi="Times New Roman"/>
            <w:color w:val="auto"/>
            <w:sz w:val="20"/>
          </w:rPr>
          <w:t>www.unhchr.org</w:t>
        </w:r>
      </w:hyperlink>
      <w:r w:rsidRPr="001732BF">
        <w:rPr>
          <w:rFonts w:ascii="Times New Roman" w:hAnsi="Times New Roman"/>
          <w:sz w:val="20"/>
        </w:rPr>
        <w:t xml:space="preserve">) and by the International Committee of the Red Cross (available at </w:t>
      </w:r>
      <w:hyperlink r:id="rId2" w:history="1">
        <w:r w:rsidRPr="001732BF">
          <w:rPr>
            <w:rStyle w:val="Hyperlink"/>
            <w:rFonts w:ascii="Times New Roman" w:hAnsi="Times New Roman"/>
            <w:color w:val="auto"/>
            <w:sz w:val="20"/>
          </w:rPr>
          <w:t>http://familylinks.icrc.org/kosovo/en</w:t>
        </w:r>
      </w:hyperlink>
      <w:r w:rsidRPr="001732BF">
        <w:rPr>
          <w:rFonts w:ascii="Times New Roman" w:hAnsi="Times New Roman"/>
          <w:sz w:val="20"/>
        </w:rPr>
        <w:t>).</w:t>
      </w:r>
    </w:p>
  </w:footnote>
  <w:footnote w:id="3">
    <w:p w:rsidR="00424AA8" w:rsidRPr="00FD2496" w:rsidRDefault="00424AA8">
      <w:pPr>
        <w:pStyle w:val="FootnoteText"/>
        <w:rPr>
          <w:rFonts w:ascii="Times New Roman" w:hAnsi="Times New Roman"/>
          <w:sz w:val="20"/>
          <w:lang w:val="en-US"/>
        </w:rPr>
      </w:pPr>
      <w:r w:rsidRPr="00FD2496">
        <w:rPr>
          <w:rStyle w:val="FootnoteReference"/>
          <w:rFonts w:ascii="Times New Roman" w:hAnsi="Times New Roman"/>
          <w:sz w:val="20"/>
        </w:rPr>
        <w:footnoteRef/>
      </w:r>
      <w:r w:rsidRPr="00FD2496">
        <w:rPr>
          <w:rFonts w:ascii="Times New Roman" w:hAnsi="Times New Roman"/>
          <w:sz w:val="20"/>
        </w:rPr>
        <w:t xml:space="preserve"> </w:t>
      </w:r>
      <w:r w:rsidR="00FD2496" w:rsidRPr="00FD2496">
        <w:rPr>
          <w:rFonts w:ascii="Times New Roman" w:hAnsi="Times New Roman"/>
          <w:sz w:val="20"/>
        </w:rPr>
        <w:t>The ICRC database is available at: http://familylinks.icrc.org/kosovo/en/pages/search-persons.aspx (accessed on 17 September 2014).</w:t>
      </w:r>
    </w:p>
  </w:footnote>
  <w:footnote w:id="4">
    <w:p w:rsidR="002D73EB" w:rsidRPr="000F55DA" w:rsidRDefault="002D73EB" w:rsidP="00E35F59">
      <w:pPr>
        <w:pStyle w:val="FootnoteText"/>
        <w:jc w:val="both"/>
        <w:rPr>
          <w:rFonts w:ascii="Times New Roman" w:hAnsi="Times New Roman"/>
          <w:sz w:val="20"/>
          <w:lang w:val="en-US"/>
        </w:rPr>
      </w:pPr>
      <w:r w:rsidRPr="000F55DA">
        <w:rPr>
          <w:rStyle w:val="FootnoteReference"/>
          <w:rFonts w:ascii="Times New Roman" w:hAnsi="Times New Roman"/>
          <w:sz w:val="20"/>
        </w:rPr>
        <w:footnoteRef/>
      </w:r>
      <w:r w:rsidRPr="000F55DA">
        <w:rPr>
          <w:rFonts w:ascii="Times New Roman" w:hAnsi="Times New Roman"/>
          <w:sz w:val="20"/>
        </w:rPr>
        <w:t>The OMPF database is not open to public. The Panel accessed i</w:t>
      </w:r>
      <w:r>
        <w:rPr>
          <w:rFonts w:ascii="Times New Roman" w:hAnsi="Times New Roman"/>
          <w:sz w:val="20"/>
        </w:rPr>
        <w:t>t with regard to this case on 10</w:t>
      </w:r>
      <w:r w:rsidRPr="000F55DA">
        <w:rPr>
          <w:rFonts w:ascii="Times New Roman" w:hAnsi="Times New Roman"/>
          <w:sz w:val="20"/>
        </w:rPr>
        <w:t xml:space="preserve"> </w:t>
      </w:r>
      <w:r>
        <w:rPr>
          <w:rFonts w:ascii="Times New Roman" w:hAnsi="Times New Roman"/>
          <w:sz w:val="20"/>
        </w:rPr>
        <w:t>September</w:t>
      </w:r>
      <w:r w:rsidRPr="000F55DA">
        <w:rPr>
          <w:rFonts w:ascii="Times New Roman" w:hAnsi="Times New Roman"/>
          <w:sz w:val="20"/>
        </w:rPr>
        <w:t xml:space="preserve"> 2014.</w:t>
      </w:r>
    </w:p>
  </w:footnote>
  <w:footnote w:id="5">
    <w:p w:rsidR="002D73EB" w:rsidRPr="000F55DA" w:rsidRDefault="002D73EB" w:rsidP="00E35F59">
      <w:pPr>
        <w:pStyle w:val="FootnoteText"/>
        <w:jc w:val="both"/>
        <w:rPr>
          <w:rFonts w:ascii="Times New Roman" w:hAnsi="Times New Roman"/>
          <w:sz w:val="20"/>
        </w:rPr>
      </w:pPr>
      <w:r w:rsidRPr="000F55DA">
        <w:rPr>
          <w:rStyle w:val="FootnoteReference"/>
          <w:rFonts w:ascii="Times New Roman" w:hAnsi="Times New Roman"/>
          <w:sz w:val="20"/>
        </w:rPr>
        <w:footnoteRef/>
      </w:r>
      <w:r w:rsidRPr="000F55DA">
        <w:rPr>
          <w:rFonts w:ascii="Times New Roman" w:hAnsi="Times New Roman"/>
          <w:sz w:val="20"/>
        </w:rPr>
        <w:t xml:space="preserve">The ICMP database is available at:  </w:t>
      </w:r>
      <w:hyperlink r:id="rId3" w:history="1">
        <w:r w:rsidRPr="000F55DA">
          <w:rPr>
            <w:rStyle w:val="Hyperlink"/>
            <w:rFonts w:ascii="Times New Roman" w:hAnsi="Times New Roman"/>
            <w:color w:val="auto"/>
            <w:sz w:val="20"/>
          </w:rPr>
          <w:t>http://www.ic-mp.org/fdmsweb/index.php?w=mp_details&amp;l=en</w:t>
        </w:r>
      </w:hyperlink>
      <w:r w:rsidRPr="000F55DA">
        <w:rPr>
          <w:rFonts w:ascii="Times New Roman" w:hAnsi="Times New Roman"/>
          <w:sz w:val="20"/>
        </w:rPr>
        <w:t xml:space="preserve"> (accessed on </w:t>
      </w:r>
      <w:r>
        <w:rPr>
          <w:rFonts w:ascii="Times New Roman" w:hAnsi="Times New Roman"/>
          <w:sz w:val="20"/>
        </w:rPr>
        <w:t>10 September 2014</w:t>
      </w:r>
      <w:r w:rsidRPr="000F55DA">
        <w:rPr>
          <w:rFonts w:ascii="Times New Roman" w:hAnsi="Times New Roman"/>
          <w:sz w:val="20"/>
        </w:rPr>
        <w:t>).</w:t>
      </w:r>
    </w:p>
  </w:footnote>
  <w:footnote w:id="6">
    <w:p w:rsidR="002D73EB" w:rsidRPr="00DC5B20" w:rsidRDefault="002D73EB" w:rsidP="00DC5B20">
      <w:pPr>
        <w:pStyle w:val="FootnoteText"/>
        <w:jc w:val="both"/>
        <w:rPr>
          <w:rFonts w:ascii="Times New Roman" w:hAnsi="Times New Roman"/>
          <w:sz w:val="20"/>
          <w:lang w:val="en-US"/>
        </w:rPr>
      </w:pPr>
      <w:r w:rsidRPr="00DC5B20">
        <w:rPr>
          <w:rStyle w:val="FootnoteReference"/>
          <w:rFonts w:ascii="Times New Roman" w:hAnsi="Times New Roman"/>
          <w:sz w:val="20"/>
        </w:rPr>
        <w:footnoteRef/>
      </w:r>
      <w:r w:rsidRPr="00DC5B20">
        <w:rPr>
          <w:rFonts w:ascii="Times New Roman" w:hAnsi="Times New Roman"/>
          <w:sz w:val="20"/>
        </w:rPr>
        <w:t xml:space="preserve">Although </w:t>
      </w:r>
      <w:r w:rsidRPr="00DC5B20">
        <w:rPr>
          <w:rFonts w:ascii="Times New Roman" w:hAnsi="Times New Roman"/>
          <w:sz w:val="20"/>
          <w:lang w:val="en-US"/>
        </w:rPr>
        <w:t xml:space="preserve">the man had the same birthdate (12 March 1957) and was apparently from Prishtinë/Priština, like the victim, the SRSG states “[i]n UNMIK’s opinion, it is unlikely that the crime described in the files and the documentation relating to the detention of one suspect refers to the same person Momir </w:t>
      </w:r>
      <w:r w:rsidRPr="00DC5B20">
        <w:rPr>
          <w:rFonts w:ascii="Times New Roman" w:hAnsi="Times New Roman"/>
          <w:sz w:val="20"/>
        </w:rPr>
        <w:t>Milenković, and his disappearance, as described by the complainant.”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3EB" w:rsidRPr="000722CE" w:rsidRDefault="002D73EB">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3B7A33">
      <w:rPr>
        <w:noProof/>
        <w:sz w:val="20"/>
        <w:szCs w:val="20"/>
      </w:rPr>
      <w:t>32</w:t>
    </w:r>
    <w:r w:rsidRPr="000722CE">
      <w:rPr>
        <w:sz w:val="20"/>
        <w:szCs w:val="20"/>
      </w:rPr>
      <w:fldChar w:fldCharType="end"/>
    </w:r>
  </w:p>
  <w:p w:rsidR="002D73EB" w:rsidRDefault="002D73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3272"/>
    <w:multiLevelType w:val="hybridMultilevel"/>
    <w:tmpl w:val="B10E1384"/>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8C795E"/>
    <w:multiLevelType w:val="hybridMultilevel"/>
    <w:tmpl w:val="13EEFA5A"/>
    <w:lvl w:ilvl="0" w:tplc="862602C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04414"/>
    <w:multiLevelType w:val="hybridMultilevel"/>
    <w:tmpl w:val="CB343496"/>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A26DB1"/>
    <w:multiLevelType w:val="hybridMultilevel"/>
    <w:tmpl w:val="BFEE9CB4"/>
    <w:lvl w:ilvl="0" w:tplc="715A0336">
      <w:start w:val="6"/>
      <w:numFmt w:val="bullet"/>
      <w:lvlText w:val="-"/>
      <w:lvlJc w:val="left"/>
      <w:pPr>
        <w:ind w:left="1495" w:hanging="360"/>
      </w:pPr>
      <w:rPr>
        <w:rFonts w:ascii="Times New Roman" w:eastAsia="Times New Roman" w:hAnsi="Times New Roman"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6">
    <w:nsid w:val="3841526C"/>
    <w:multiLevelType w:val="hybridMultilevel"/>
    <w:tmpl w:val="E886EC70"/>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C590FD1"/>
    <w:multiLevelType w:val="hybridMultilevel"/>
    <w:tmpl w:val="2C9CAC30"/>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E9039FF"/>
    <w:multiLevelType w:val="hybridMultilevel"/>
    <w:tmpl w:val="ED90573A"/>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0"/>
  </w:num>
  <w:num w:numId="4">
    <w:abstractNumId w:val="7"/>
  </w:num>
  <w:num w:numId="5">
    <w:abstractNumId w:val="11"/>
  </w:num>
  <w:num w:numId="6">
    <w:abstractNumId w:val="2"/>
  </w:num>
  <w:num w:numId="7">
    <w:abstractNumId w:val="9"/>
  </w:num>
  <w:num w:numId="8">
    <w:abstractNumId w:val="5"/>
  </w:num>
  <w:num w:numId="9">
    <w:abstractNumId w:val="3"/>
  </w:num>
  <w:num w:numId="10">
    <w:abstractNumId w:val="0"/>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2"/>
  </w:num>
  <w:num w:numId="1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3387"/>
    <w:rsid w:val="000043BC"/>
    <w:rsid w:val="0000536C"/>
    <w:rsid w:val="00005C16"/>
    <w:rsid w:val="00005CB2"/>
    <w:rsid w:val="0000633A"/>
    <w:rsid w:val="00007E91"/>
    <w:rsid w:val="0001052E"/>
    <w:rsid w:val="00012BBB"/>
    <w:rsid w:val="0001588C"/>
    <w:rsid w:val="00015EAF"/>
    <w:rsid w:val="0002011C"/>
    <w:rsid w:val="000209DC"/>
    <w:rsid w:val="00022E69"/>
    <w:rsid w:val="00025BD8"/>
    <w:rsid w:val="00025D67"/>
    <w:rsid w:val="00025DC5"/>
    <w:rsid w:val="000300C8"/>
    <w:rsid w:val="00030ACD"/>
    <w:rsid w:val="00033882"/>
    <w:rsid w:val="00033D6B"/>
    <w:rsid w:val="00035A70"/>
    <w:rsid w:val="00042514"/>
    <w:rsid w:val="00044820"/>
    <w:rsid w:val="00044FA2"/>
    <w:rsid w:val="00050B85"/>
    <w:rsid w:val="00054459"/>
    <w:rsid w:val="000565C8"/>
    <w:rsid w:val="00056A25"/>
    <w:rsid w:val="00057B23"/>
    <w:rsid w:val="00060474"/>
    <w:rsid w:val="00060C31"/>
    <w:rsid w:val="000618F1"/>
    <w:rsid w:val="00062401"/>
    <w:rsid w:val="00063A91"/>
    <w:rsid w:val="00064CF9"/>
    <w:rsid w:val="00064E34"/>
    <w:rsid w:val="0006762B"/>
    <w:rsid w:val="00071523"/>
    <w:rsid w:val="000722CE"/>
    <w:rsid w:val="00073F8C"/>
    <w:rsid w:val="00074D6B"/>
    <w:rsid w:val="00075D74"/>
    <w:rsid w:val="00075FC9"/>
    <w:rsid w:val="00077145"/>
    <w:rsid w:val="00077DE9"/>
    <w:rsid w:val="0008098F"/>
    <w:rsid w:val="0008099B"/>
    <w:rsid w:val="00082345"/>
    <w:rsid w:val="00086415"/>
    <w:rsid w:val="000875E1"/>
    <w:rsid w:val="00091C96"/>
    <w:rsid w:val="0009345C"/>
    <w:rsid w:val="00094FA3"/>
    <w:rsid w:val="000958B3"/>
    <w:rsid w:val="000A21A8"/>
    <w:rsid w:val="000A233E"/>
    <w:rsid w:val="000A4208"/>
    <w:rsid w:val="000A49BC"/>
    <w:rsid w:val="000A4C40"/>
    <w:rsid w:val="000A65EB"/>
    <w:rsid w:val="000A6E33"/>
    <w:rsid w:val="000A7439"/>
    <w:rsid w:val="000B133A"/>
    <w:rsid w:val="000B139B"/>
    <w:rsid w:val="000B46F6"/>
    <w:rsid w:val="000B51F2"/>
    <w:rsid w:val="000B5C31"/>
    <w:rsid w:val="000C425B"/>
    <w:rsid w:val="000C7592"/>
    <w:rsid w:val="000C7B8E"/>
    <w:rsid w:val="000D0543"/>
    <w:rsid w:val="000D0693"/>
    <w:rsid w:val="000D1606"/>
    <w:rsid w:val="000D362F"/>
    <w:rsid w:val="000D46DF"/>
    <w:rsid w:val="000D579F"/>
    <w:rsid w:val="000D59E7"/>
    <w:rsid w:val="000D5BCF"/>
    <w:rsid w:val="000E12A4"/>
    <w:rsid w:val="000E23B6"/>
    <w:rsid w:val="000E2956"/>
    <w:rsid w:val="000E2A2A"/>
    <w:rsid w:val="000E59FE"/>
    <w:rsid w:val="000F2772"/>
    <w:rsid w:val="000F475D"/>
    <w:rsid w:val="000F5F92"/>
    <w:rsid w:val="000F6E16"/>
    <w:rsid w:val="000F7E70"/>
    <w:rsid w:val="001003BC"/>
    <w:rsid w:val="0010071F"/>
    <w:rsid w:val="001018B0"/>
    <w:rsid w:val="00102BB7"/>
    <w:rsid w:val="00106865"/>
    <w:rsid w:val="00111B60"/>
    <w:rsid w:val="00112081"/>
    <w:rsid w:val="00112756"/>
    <w:rsid w:val="001132C3"/>
    <w:rsid w:val="00113503"/>
    <w:rsid w:val="00114786"/>
    <w:rsid w:val="0011549D"/>
    <w:rsid w:val="001155AC"/>
    <w:rsid w:val="00117054"/>
    <w:rsid w:val="00121E9E"/>
    <w:rsid w:val="00122DFB"/>
    <w:rsid w:val="00123F99"/>
    <w:rsid w:val="001279D7"/>
    <w:rsid w:val="00133592"/>
    <w:rsid w:val="001350FB"/>
    <w:rsid w:val="001403C2"/>
    <w:rsid w:val="00140481"/>
    <w:rsid w:val="0014048A"/>
    <w:rsid w:val="0014335B"/>
    <w:rsid w:val="001449C9"/>
    <w:rsid w:val="0014568C"/>
    <w:rsid w:val="00145983"/>
    <w:rsid w:val="001512A5"/>
    <w:rsid w:val="001512EA"/>
    <w:rsid w:val="001530BE"/>
    <w:rsid w:val="00153694"/>
    <w:rsid w:val="00154325"/>
    <w:rsid w:val="00154829"/>
    <w:rsid w:val="00154E5E"/>
    <w:rsid w:val="0016154E"/>
    <w:rsid w:val="001642C0"/>
    <w:rsid w:val="00164407"/>
    <w:rsid w:val="0016631D"/>
    <w:rsid w:val="00166DB7"/>
    <w:rsid w:val="00167450"/>
    <w:rsid w:val="00171AFB"/>
    <w:rsid w:val="00171E19"/>
    <w:rsid w:val="001727C1"/>
    <w:rsid w:val="00172B14"/>
    <w:rsid w:val="001730D5"/>
    <w:rsid w:val="001732BF"/>
    <w:rsid w:val="00173F75"/>
    <w:rsid w:val="00177E8D"/>
    <w:rsid w:val="001804D5"/>
    <w:rsid w:val="00181AA5"/>
    <w:rsid w:val="00183978"/>
    <w:rsid w:val="0018424E"/>
    <w:rsid w:val="00184384"/>
    <w:rsid w:val="001852D9"/>
    <w:rsid w:val="00186B18"/>
    <w:rsid w:val="00190271"/>
    <w:rsid w:val="00194191"/>
    <w:rsid w:val="00194800"/>
    <w:rsid w:val="00194D93"/>
    <w:rsid w:val="00195ECC"/>
    <w:rsid w:val="00197979"/>
    <w:rsid w:val="001A08B0"/>
    <w:rsid w:val="001A4AF8"/>
    <w:rsid w:val="001A57F8"/>
    <w:rsid w:val="001A5F6B"/>
    <w:rsid w:val="001A6816"/>
    <w:rsid w:val="001B155D"/>
    <w:rsid w:val="001B1A1A"/>
    <w:rsid w:val="001B241F"/>
    <w:rsid w:val="001B44B7"/>
    <w:rsid w:val="001B4620"/>
    <w:rsid w:val="001B4F35"/>
    <w:rsid w:val="001B6B46"/>
    <w:rsid w:val="001B7E46"/>
    <w:rsid w:val="001C0F0F"/>
    <w:rsid w:val="001C2229"/>
    <w:rsid w:val="001C238F"/>
    <w:rsid w:val="001C6555"/>
    <w:rsid w:val="001D2C42"/>
    <w:rsid w:val="001D311B"/>
    <w:rsid w:val="001D45F5"/>
    <w:rsid w:val="001D4A00"/>
    <w:rsid w:val="001D5261"/>
    <w:rsid w:val="001D5F2F"/>
    <w:rsid w:val="001D6CAC"/>
    <w:rsid w:val="001D73A9"/>
    <w:rsid w:val="001D7A5D"/>
    <w:rsid w:val="001E0730"/>
    <w:rsid w:val="001E0D8A"/>
    <w:rsid w:val="001E11FB"/>
    <w:rsid w:val="001E2A7D"/>
    <w:rsid w:val="001E2DC6"/>
    <w:rsid w:val="001E3D4F"/>
    <w:rsid w:val="001E40A0"/>
    <w:rsid w:val="001E5241"/>
    <w:rsid w:val="001E5F6A"/>
    <w:rsid w:val="001E6809"/>
    <w:rsid w:val="001E69F5"/>
    <w:rsid w:val="001F1FF3"/>
    <w:rsid w:val="001F27D0"/>
    <w:rsid w:val="001F3585"/>
    <w:rsid w:val="001F36C9"/>
    <w:rsid w:val="001F3C32"/>
    <w:rsid w:val="001F4AC3"/>
    <w:rsid w:val="001F6A62"/>
    <w:rsid w:val="001F7985"/>
    <w:rsid w:val="001F7B37"/>
    <w:rsid w:val="00201CB5"/>
    <w:rsid w:val="00202598"/>
    <w:rsid w:val="00202F90"/>
    <w:rsid w:val="00203109"/>
    <w:rsid w:val="00203FF4"/>
    <w:rsid w:val="002074D2"/>
    <w:rsid w:val="00207662"/>
    <w:rsid w:val="00207EF6"/>
    <w:rsid w:val="002119C2"/>
    <w:rsid w:val="0021476D"/>
    <w:rsid w:val="002147F2"/>
    <w:rsid w:val="00215EA8"/>
    <w:rsid w:val="00222D2F"/>
    <w:rsid w:val="00225BAB"/>
    <w:rsid w:val="002274C0"/>
    <w:rsid w:val="00231A61"/>
    <w:rsid w:val="00231EE6"/>
    <w:rsid w:val="0023308F"/>
    <w:rsid w:val="0023537F"/>
    <w:rsid w:val="002360DA"/>
    <w:rsid w:val="002361C0"/>
    <w:rsid w:val="00236A14"/>
    <w:rsid w:val="00237A05"/>
    <w:rsid w:val="002437E9"/>
    <w:rsid w:val="002443C3"/>
    <w:rsid w:val="002473B8"/>
    <w:rsid w:val="00250C69"/>
    <w:rsid w:val="00251D80"/>
    <w:rsid w:val="002524AF"/>
    <w:rsid w:val="00252B9E"/>
    <w:rsid w:val="002539EF"/>
    <w:rsid w:val="0025400A"/>
    <w:rsid w:val="00255130"/>
    <w:rsid w:val="00260384"/>
    <w:rsid w:val="002624D6"/>
    <w:rsid w:val="00262A2F"/>
    <w:rsid w:val="00262B1E"/>
    <w:rsid w:val="00262B44"/>
    <w:rsid w:val="0026374C"/>
    <w:rsid w:val="002640D8"/>
    <w:rsid w:val="00265A15"/>
    <w:rsid w:val="00267300"/>
    <w:rsid w:val="0027204F"/>
    <w:rsid w:val="002737ED"/>
    <w:rsid w:val="002745CF"/>
    <w:rsid w:val="00275342"/>
    <w:rsid w:val="00275457"/>
    <w:rsid w:val="002758B9"/>
    <w:rsid w:val="00276E5E"/>
    <w:rsid w:val="002816FF"/>
    <w:rsid w:val="00281FB3"/>
    <w:rsid w:val="00284A77"/>
    <w:rsid w:val="00285F55"/>
    <w:rsid w:val="0028685C"/>
    <w:rsid w:val="00287CA7"/>
    <w:rsid w:val="00291D60"/>
    <w:rsid w:val="00294415"/>
    <w:rsid w:val="002948A6"/>
    <w:rsid w:val="00296C0B"/>
    <w:rsid w:val="00296DF3"/>
    <w:rsid w:val="00297E2F"/>
    <w:rsid w:val="002A18D6"/>
    <w:rsid w:val="002A1DEC"/>
    <w:rsid w:val="002A29A6"/>
    <w:rsid w:val="002B171F"/>
    <w:rsid w:val="002B26D6"/>
    <w:rsid w:val="002B402A"/>
    <w:rsid w:val="002B4F4E"/>
    <w:rsid w:val="002B520C"/>
    <w:rsid w:val="002B6427"/>
    <w:rsid w:val="002C03BD"/>
    <w:rsid w:val="002C1C5F"/>
    <w:rsid w:val="002C568F"/>
    <w:rsid w:val="002C656A"/>
    <w:rsid w:val="002C6D03"/>
    <w:rsid w:val="002C786F"/>
    <w:rsid w:val="002D180A"/>
    <w:rsid w:val="002D3DA0"/>
    <w:rsid w:val="002D428F"/>
    <w:rsid w:val="002D5DD4"/>
    <w:rsid w:val="002D73EB"/>
    <w:rsid w:val="002E02C5"/>
    <w:rsid w:val="002E04D2"/>
    <w:rsid w:val="002E0AF3"/>
    <w:rsid w:val="002E2507"/>
    <w:rsid w:val="002F1033"/>
    <w:rsid w:val="002F2D96"/>
    <w:rsid w:val="002F42C3"/>
    <w:rsid w:val="002F46FC"/>
    <w:rsid w:val="002F4D66"/>
    <w:rsid w:val="002F65E3"/>
    <w:rsid w:val="00301DAC"/>
    <w:rsid w:val="00304848"/>
    <w:rsid w:val="00304D18"/>
    <w:rsid w:val="00310F91"/>
    <w:rsid w:val="00312441"/>
    <w:rsid w:val="00316A34"/>
    <w:rsid w:val="00321C03"/>
    <w:rsid w:val="00322780"/>
    <w:rsid w:val="00323223"/>
    <w:rsid w:val="00326663"/>
    <w:rsid w:val="003306C0"/>
    <w:rsid w:val="00330F5D"/>
    <w:rsid w:val="003324DB"/>
    <w:rsid w:val="00332682"/>
    <w:rsid w:val="003337EF"/>
    <w:rsid w:val="00333CD6"/>
    <w:rsid w:val="00337F92"/>
    <w:rsid w:val="0034219E"/>
    <w:rsid w:val="003456E7"/>
    <w:rsid w:val="003461EF"/>
    <w:rsid w:val="003472C6"/>
    <w:rsid w:val="00347A90"/>
    <w:rsid w:val="00347B71"/>
    <w:rsid w:val="00350C81"/>
    <w:rsid w:val="00351024"/>
    <w:rsid w:val="00351324"/>
    <w:rsid w:val="00351429"/>
    <w:rsid w:val="0035305F"/>
    <w:rsid w:val="003541D2"/>
    <w:rsid w:val="00354676"/>
    <w:rsid w:val="00355673"/>
    <w:rsid w:val="00355E4A"/>
    <w:rsid w:val="00356632"/>
    <w:rsid w:val="0035788B"/>
    <w:rsid w:val="003605F6"/>
    <w:rsid w:val="00361768"/>
    <w:rsid w:val="003618D3"/>
    <w:rsid w:val="00361BD4"/>
    <w:rsid w:val="00361F4D"/>
    <w:rsid w:val="00363198"/>
    <w:rsid w:val="0036506B"/>
    <w:rsid w:val="003653FA"/>
    <w:rsid w:val="00366207"/>
    <w:rsid w:val="003700EB"/>
    <w:rsid w:val="003725D1"/>
    <w:rsid w:val="00372A92"/>
    <w:rsid w:val="003733F1"/>
    <w:rsid w:val="0037385F"/>
    <w:rsid w:val="00374546"/>
    <w:rsid w:val="00375153"/>
    <w:rsid w:val="003778B8"/>
    <w:rsid w:val="00380A17"/>
    <w:rsid w:val="003837C8"/>
    <w:rsid w:val="00385A0E"/>
    <w:rsid w:val="003905A1"/>
    <w:rsid w:val="00390AE0"/>
    <w:rsid w:val="003931B9"/>
    <w:rsid w:val="0039337A"/>
    <w:rsid w:val="003936AC"/>
    <w:rsid w:val="00393E8D"/>
    <w:rsid w:val="0039675C"/>
    <w:rsid w:val="003A0AF8"/>
    <w:rsid w:val="003A2EBD"/>
    <w:rsid w:val="003A3EA5"/>
    <w:rsid w:val="003A3EAA"/>
    <w:rsid w:val="003A7B8B"/>
    <w:rsid w:val="003B0328"/>
    <w:rsid w:val="003B0AB0"/>
    <w:rsid w:val="003B1C80"/>
    <w:rsid w:val="003B1F5E"/>
    <w:rsid w:val="003B2010"/>
    <w:rsid w:val="003B29DC"/>
    <w:rsid w:val="003B3907"/>
    <w:rsid w:val="003B43F3"/>
    <w:rsid w:val="003B5FD2"/>
    <w:rsid w:val="003B7650"/>
    <w:rsid w:val="003B7A33"/>
    <w:rsid w:val="003C080C"/>
    <w:rsid w:val="003C1DDB"/>
    <w:rsid w:val="003C2820"/>
    <w:rsid w:val="003C3BF4"/>
    <w:rsid w:val="003C5F4E"/>
    <w:rsid w:val="003C6352"/>
    <w:rsid w:val="003D1D0C"/>
    <w:rsid w:val="003D2EB6"/>
    <w:rsid w:val="003D5866"/>
    <w:rsid w:val="003E3EC5"/>
    <w:rsid w:val="003E3F85"/>
    <w:rsid w:val="003E5FA6"/>
    <w:rsid w:val="003E64E0"/>
    <w:rsid w:val="003E74BC"/>
    <w:rsid w:val="003F0024"/>
    <w:rsid w:val="003F02F9"/>
    <w:rsid w:val="003F1FC4"/>
    <w:rsid w:val="003F3442"/>
    <w:rsid w:val="003F4D2F"/>
    <w:rsid w:val="003F53A4"/>
    <w:rsid w:val="003F54A4"/>
    <w:rsid w:val="003F5D1D"/>
    <w:rsid w:val="003F6AD6"/>
    <w:rsid w:val="003F7337"/>
    <w:rsid w:val="003F733F"/>
    <w:rsid w:val="00400CED"/>
    <w:rsid w:val="00401FD2"/>
    <w:rsid w:val="00402699"/>
    <w:rsid w:val="00402B8F"/>
    <w:rsid w:val="004033CB"/>
    <w:rsid w:val="00405334"/>
    <w:rsid w:val="00405C17"/>
    <w:rsid w:val="0041262D"/>
    <w:rsid w:val="00414BA2"/>
    <w:rsid w:val="00420088"/>
    <w:rsid w:val="004202B2"/>
    <w:rsid w:val="00422729"/>
    <w:rsid w:val="00424AA8"/>
    <w:rsid w:val="0042549A"/>
    <w:rsid w:val="00427A31"/>
    <w:rsid w:val="0043016C"/>
    <w:rsid w:val="00430D9E"/>
    <w:rsid w:val="00433154"/>
    <w:rsid w:val="0043400E"/>
    <w:rsid w:val="00434BB6"/>
    <w:rsid w:val="0043575D"/>
    <w:rsid w:val="00440903"/>
    <w:rsid w:val="00440E88"/>
    <w:rsid w:val="0044246C"/>
    <w:rsid w:val="00443568"/>
    <w:rsid w:val="0044617E"/>
    <w:rsid w:val="00452920"/>
    <w:rsid w:val="004534C4"/>
    <w:rsid w:val="00455594"/>
    <w:rsid w:val="00456871"/>
    <w:rsid w:val="00466DCF"/>
    <w:rsid w:val="00466E32"/>
    <w:rsid w:val="004714D9"/>
    <w:rsid w:val="00472580"/>
    <w:rsid w:val="00472DFF"/>
    <w:rsid w:val="00473041"/>
    <w:rsid w:val="00474109"/>
    <w:rsid w:val="0047658A"/>
    <w:rsid w:val="00476D2E"/>
    <w:rsid w:val="004812CA"/>
    <w:rsid w:val="00482953"/>
    <w:rsid w:val="004865D9"/>
    <w:rsid w:val="00487961"/>
    <w:rsid w:val="004915E6"/>
    <w:rsid w:val="00491629"/>
    <w:rsid w:val="00491B79"/>
    <w:rsid w:val="004938F7"/>
    <w:rsid w:val="00494E3A"/>
    <w:rsid w:val="00495CD7"/>
    <w:rsid w:val="004961CD"/>
    <w:rsid w:val="004963EA"/>
    <w:rsid w:val="00497092"/>
    <w:rsid w:val="00497C0C"/>
    <w:rsid w:val="004A010F"/>
    <w:rsid w:val="004A04CF"/>
    <w:rsid w:val="004A3362"/>
    <w:rsid w:val="004A4D35"/>
    <w:rsid w:val="004A4D91"/>
    <w:rsid w:val="004A5616"/>
    <w:rsid w:val="004B095F"/>
    <w:rsid w:val="004B394B"/>
    <w:rsid w:val="004B426D"/>
    <w:rsid w:val="004B5E0A"/>
    <w:rsid w:val="004B627D"/>
    <w:rsid w:val="004B698B"/>
    <w:rsid w:val="004B7B66"/>
    <w:rsid w:val="004B7D5D"/>
    <w:rsid w:val="004C0211"/>
    <w:rsid w:val="004C104C"/>
    <w:rsid w:val="004C541B"/>
    <w:rsid w:val="004C5ECD"/>
    <w:rsid w:val="004C5F53"/>
    <w:rsid w:val="004C6E8C"/>
    <w:rsid w:val="004C7167"/>
    <w:rsid w:val="004C78D2"/>
    <w:rsid w:val="004D1952"/>
    <w:rsid w:val="004D2F71"/>
    <w:rsid w:val="004D4C22"/>
    <w:rsid w:val="004D4DDE"/>
    <w:rsid w:val="004D6808"/>
    <w:rsid w:val="004E1F8C"/>
    <w:rsid w:val="004E415C"/>
    <w:rsid w:val="004E6657"/>
    <w:rsid w:val="004E7BB8"/>
    <w:rsid w:val="004F0CAB"/>
    <w:rsid w:val="004F71FD"/>
    <w:rsid w:val="004F77C7"/>
    <w:rsid w:val="004F7A28"/>
    <w:rsid w:val="005006CB"/>
    <w:rsid w:val="005009F9"/>
    <w:rsid w:val="00503BB3"/>
    <w:rsid w:val="00505C47"/>
    <w:rsid w:val="00506297"/>
    <w:rsid w:val="005077B1"/>
    <w:rsid w:val="005125E2"/>
    <w:rsid w:val="00512BF7"/>
    <w:rsid w:val="00514229"/>
    <w:rsid w:val="00514F78"/>
    <w:rsid w:val="00516F75"/>
    <w:rsid w:val="0052139E"/>
    <w:rsid w:val="00523386"/>
    <w:rsid w:val="00523C89"/>
    <w:rsid w:val="0052416C"/>
    <w:rsid w:val="005244D2"/>
    <w:rsid w:val="005257F4"/>
    <w:rsid w:val="005320BE"/>
    <w:rsid w:val="005332B2"/>
    <w:rsid w:val="00535F04"/>
    <w:rsid w:val="00536F69"/>
    <w:rsid w:val="005376DF"/>
    <w:rsid w:val="00537784"/>
    <w:rsid w:val="005400F7"/>
    <w:rsid w:val="0054280D"/>
    <w:rsid w:val="005445C1"/>
    <w:rsid w:val="00544669"/>
    <w:rsid w:val="0054470C"/>
    <w:rsid w:val="00544E5A"/>
    <w:rsid w:val="00545A64"/>
    <w:rsid w:val="00546DB5"/>
    <w:rsid w:val="00551A17"/>
    <w:rsid w:val="00552913"/>
    <w:rsid w:val="00553535"/>
    <w:rsid w:val="005547B8"/>
    <w:rsid w:val="005551E0"/>
    <w:rsid w:val="00555891"/>
    <w:rsid w:val="0055732C"/>
    <w:rsid w:val="00557F1B"/>
    <w:rsid w:val="00560510"/>
    <w:rsid w:val="00562343"/>
    <w:rsid w:val="005627CC"/>
    <w:rsid w:val="00562AE1"/>
    <w:rsid w:val="00562FDF"/>
    <w:rsid w:val="0056401D"/>
    <w:rsid w:val="00564D34"/>
    <w:rsid w:val="00564F1B"/>
    <w:rsid w:val="00565DC7"/>
    <w:rsid w:val="00566ACD"/>
    <w:rsid w:val="00570CB4"/>
    <w:rsid w:val="0057242B"/>
    <w:rsid w:val="0057242F"/>
    <w:rsid w:val="005724AA"/>
    <w:rsid w:val="005728B8"/>
    <w:rsid w:val="00574094"/>
    <w:rsid w:val="0057625F"/>
    <w:rsid w:val="00576B13"/>
    <w:rsid w:val="00577877"/>
    <w:rsid w:val="005802A4"/>
    <w:rsid w:val="0058094E"/>
    <w:rsid w:val="00581378"/>
    <w:rsid w:val="0058249E"/>
    <w:rsid w:val="0058307C"/>
    <w:rsid w:val="005836D4"/>
    <w:rsid w:val="00584113"/>
    <w:rsid w:val="00590DAC"/>
    <w:rsid w:val="0059175C"/>
    <w:rsid w:val="005917EC"/>
    <w:rsid w:val="005949E2"/>
    <w:rsid w:val="0059532D"/>
    <w:rsid w:val="00595E25"/>
    <w:rsid w:val="00596E66"/>
    <w:rsid w:val="005A068B"/>
    <w:rsid w:val="005A1063"/>
    <w:rsid w:val="005A1E72"/>
    <w:rsid w:val="005A21F6"/>
    <w:rsid w:val="005A2D17"/>
    <w:rsid w:val="005A3CF1"/>
    <w:rsid w:val="005A4111"/>
    <w:rsid w:val="005A6546"/>
    <w:rsid w:val="005A6E82"/>
    <w:rsid w:val="005B5EAD"/>
    <w:rsid w:val="005C110C"/>
    <w:rsid w:val="005C1D18"/>
    <w:rsid w:val="005C3CD5"/>
    <w:rsid w:val="005C437F"/>
    <w:rsid w:val="005C4D36"/>
    <w:rsid w:val="005C51CD"/>
    <w:rsid w:val="005C65AF"/>
    <w:rsid w:val="005C78E7"/>
    <w:rsid w:val="005D10AB"/>
    <w:rsid w:val="005D12FB"/>
    <w:rsid w:val="005D2F19"/>
    <w:rsid w:val="005D3ED0"/>
    <w:rsid w:val="005D5F1A"/>
    <w:rsid w:val="005E361B"/>
    <w:rsid w:val="005E37C5"/>
    <w:rsid w:val="005E403F"/>
    <w:rsid w:val="005E4930"/>
    <w:rsid w:val="005E6E2D"/>
    <w:rsid w:val="005E7C8F"/>
    <w:rsid w:val="005F0A19"/>
    <w:rsid w:val="005F4187"/>
    <w:rsid w:val="005F686D"/>
    <w:rsid w:val="005F6DB3"/>
    <w:rsid w:val="005F742B"/>
    <w:rsid w:val="00603A86"/>
    <w:rsid w:val="00603C7F"/>
    <w:rsid w:val="00603D49"/>
    <w:rsid w:val="00605915"/>
    <w:rsid w:val="00606C3D"/>
    <w:rsid w:val="006111E0"/>
    <w:rsid w:val="00612698"/>
    <w:rsid w:val="00612EEF"/>
    <w:rsid w:val="00616A11"/>
    <w:rsid w:val="00617352"/>
    <w:rsid w:val="006205AF"/>
    <w:rsid w:val="00621EDB"/>
    <w:rsid w:val="0062454F"/>
    <w:rsid w:val="00626D88"/>
    <w:rsid w:val="00627BF9"/>
    <w:rsid w:val="00627C8E"/>
    <w:rsid w:val="0063039E"/>
    <w:rsid w:val="006366D0"/>
    <w:rsid w:val="00640576"/>
    <w:rsid w:val="00643C1A"/>
    <w:rsid w:val="00645CFD"/>
    <w:rsid w:val="00645FDE"/>
    <w:rsid w:val="00646CA4"/>
    <w:rsid w:val="00647569"/>
    <w:rsid w:val="006475BB"/>
    <w:rsid w:val="00647FB1"/>
    <w:rsid w:val="00653ED0"/>
    <w:rsid w:val="00654840"/>
    <w:rsid w:val="0065509D"/>
    <w:rsid w:val="006552EA"/>
    <w:rsid w:val="00657509"/>
    <w:rsid w:val="00657746"/>
    <w:rsid w:val="00660FE2"/>
    <w:rsid w:val="00661955"/>
    <w:rsid w:val="00666D9E"/>
    <w:rsid w:val="006719B3"/>
    <w:rsid w:val="006721DE"/>
    <w:rsid w:val="006727E3"/>
    <w:rsid w:val="00672847"/>
    <w:rsid w:val="00672EBE"/>
    <w:rsid w:val="00674101"/>
    <w:rsid w:val="00674C30"/>
    <w:rsid w:val="00675375"/>
    <w:rsid w:val="00675587"/>
    <w:rsid w:val="00677B90"/>
    <w:rsid w:val="00680C67"/>
    <w:rsid w:val="00680D38"/>
    <w:rsid w:val="00680D8D"/>
    <w:rsid w:val="00680EF0"/>
    <w:rsid w:val="00681CBA"/>
    <w:rsid w:val="00683067"/>
    <w:rsid w:val="00683122"/>
    <w:rsid w:val="006840D8"/>
    <w:rsid w:val="00684DAD"/>
    <w:rsid w:val="00684F40"/>
    <w:rsid w:val="0068501A"/>
    <w:rsid w:val="00685FBC"/>
    <w:rsid w:val="00687ACD"/>
    <w:rsid w:val="006918C3"/>
    <w:rsid w:val="006946F9"/>
    <w:rsid w:val="006958C0"/>
    <w:rsid w:val="00697A75"/>
    <w:rsid w:val="006A09FC"/>
    <w:rsid w:val="006A1710"/>
    <w:rsid w:val="006A2CDF"/>
    <w:rsid w:val="006A7C1B"/>
    <w:rsid w:val="006B052B"/>
    <w:rsid w:val="006B153E"/>
    <w:rsid w:val="006B3F3C"/>
    <w:rsid w:val="006B49BF"/>
    <w:rsid w:val="006B4A0D"/>
    <w:rsid w:val="006B4D3F"/>
    <w:rsid w:val="006B5D21"/>
    <w:rsid w:val="006B61A2"/>
    <w:rsid w:val="006B7095"/>
    <w:rsid w:val="006B7576"/>
    <w:rsid w:val="006C155F"/>
    <w:rsid w:val="006C2C85"/>
    <w:rsid w:val="006C632F"/>
    <w:rsid w:val="006D07AF"/>
    <w:rsid w:val="006D10DA"/>
    <w:rsid w:val="006D151D"/>
    <w:rsid w:val="006D223B"/>
    <w:rsid w:val="006D27C6"/>
    <w:rsid w:val="006D36DF"/>
    <w:rsid w:val="006D3708"/>
    <w:rsid w:val="006D4B5A"/>
    <w:rsid w:val="006D56A5"/>
    <w:rsid w:val="006D7BF7"/>
    <w:rsid w:val="006D7EF2"/>
    <w:rsid w:val="006E04B1"/>
    <w:rsid w:val="006E0A93"/>
    <w:rsid w:val="006E22BD"/>
    <w:rsid w:val="006E22C0"/>
    <w:rsid w:val="006E2940"/>
    <w:rsid w:val="006E2B68"/>
    <w:rsid w:val="006E39D3"/>
    <w:rsid w:val="006E61AD"/>
    <w:rsid w:val="006E6458"/>
    <w:rsid w:val="006E6658"/>
    <w:rsid w:val="006E6FD9"/>
    <w:rsid w:val="006F08BF"/>
    <w:rsid w:val="006F185F"/>
    <w:rsid w:val="006F3248"/>
    <w:rsid w:val="006F3551"/>
    <w:rsid w:val="006F35D0"/>
    <w:rsid w:val="006F38CB"/>
    <w:rsid w:val="006F4F29"/>
    <w:rsid w:val="006F5AEE"/>
    <w:rsid w:val="00701BF3"/>
    <w:rsid w:val="00703CEB"/>
    <w:rsid w:val="007047D9"/>
    <w:rsid w:val="007113B1"/>
    <w:rsid w:val="00711C23"/>
    <w:rsid w:val="00712081"/>
    <w:rsid w:val="00712F51"/>
    <w:rsid w:val="00713389"/>
    <w:rsid w:val="00717451"/>
    <w:rsid w:val="00717EFD"/>
    <w:rsid w:val="00722152"/>
    <w:rsid w:val="007226EA"/>
    <w:rsid w:val="0072411F"/>
    <w:rsid w:val="00724AC2"/>
    <w:rsid w:val="00724F0F"/>
    <w:rsid w:val="007262D2"/>
    <w:rsid w:val="007268E7"/>
    <w:rsid w:val="007270F4"/>
    <w:rsid w:val="007339BC"/>
    <w:rsid w:val="00734B20"/>
    <w:rsid w:val="00735744"/>
    <w:rsid w:val="00741861"/>
    <w:rsid w:val="0074205E"/>
    <w:rsid w:val="007421B8"/>
    <w:rsid w:val="007424FB"/>
    <w:rsid w:val="00743572"/>
    <w:rsid w:val="00743F72"/>
    <w:rsid w:val="00745771"/>
    <w:rsid w:val="0075283E"/>
    <w:rsid w:val="00752CBA"/>
    <w:rsid w:val="00752CDF"/>
    <w:rsid w:val="0075317B"/>
    <w:rsid w:val="007536B1"/>
    <w:rsid w:val="00754113"/>
    <w:rsid w:val="007551D8"/>
    <w:rsid w:val="0076188F"/>
    <w:rsid w:val="00761AE8"/>
    <w:rsid w:val="007645ED"/>
    <w:rsid w:val="00764AE3"/>
    <w:rsid w:val="00764FB4"/>
    <w:rsid w:val="0076572E"/>
    <w:rsid w:val="00767CBA"/>
    <w:rsid w:val="0077155C"/>
    <w:rsid w:val="00773988"/>
    <w:rsid w:val="00775F66"/>
    <w:rsid w:val="007766DD"/>
    <w:rsid w:val="00780319"/>
    <w:rsid w:val="007805BB"/>
    <w:rsid w:val="00781C73"/>
    <w:rsid w:val="00783B48"/>
    <w:rsid w:val="00784973"/>
    <w:rsid w:val="00784C56"/>
    <w:rsid w:val="00784E54"/>
    <w:rsid w:val="00785097"/>
    <w:rsid w:val="00787BE3"/>
    <w:rsid w:val="0079425A"/>
    <w:rsid w:val="00795BB4"/>
    <w:rsid w:val="00797093"/>
    <w:rsid w:val="007A4CC9"/>
    <w:rsid w:val="007A510C"/>
    <w:rsid w:val="007A59FF"/>
    <w:rsid w:val="007A6514"/>
    <w:rsid w:val="007A6603"/>
    <w:rsid w:val="007A6FCD"/>
    <w:rsid w:val="007B03A4"/>
    <w:rsid w:val="007B087A"/>
    <w:rsid w:val="007B15C2"/>
    <w:rsid w:val="007B1A13"/>
    <w:rsid w:val="007C02C1"/>
    <w:rsid w:val="007C1589"/>
    <w:rsid w:val="007C2F12"/>
    <w:rsid w:val="007C303C"/>
    <w:rsid w:val="007C36B5"/>
    <w:rsid w:val="007C49D1"/>
    <w:rsid w:val="007C65E0"/>
    <w:rsid w:val="007D0F2F"/>
    <w:rsid w:val="007D6EE1"/>
    <w:rsid w:val="007E1ECA"/>
    <w:rsid w:val="007E2E9C"/>
    <w:rsid w:val="007E6371"/>
    <w:rsid w:val="007E697E"/>
    <w:rsid w:val="007F093F"/>
    <w:rsid w:val="007F1452"/>
    <w:rsid w:val="007F14FA"/>
    <w:rsid w:val="007F1851"/>
    <w:rsid w:val="007F5582"/>
    <w:rsid w:val="007F5C0F"/>
    <w:rsid w:val="007F6002"/>
    <w:rsid w:val="007F656B"/>
    <w:rsid w:val="007F7030"/>
    <w:rsid w:val="007F758E"/>
    <w:rsid w:val="007F7B59"/>
    <w:rsid w:val="008025EF"/>
    <w:rsid w:val="0080361B"/>
    <w:rsid w:val="00803953"/>
    <w:rsid w:val="00806DE7"/>
    <w:rsid w:val="0080739D"/>
    <w:rsid w:val="00807460"/>
    <w:rsid w:val="00810AF7"/>
    <w:rsid w:val="00811117"/>
    <w:rsid w:val="008113E6"/>
    <w:rsid w:val="008124CF"/>
    <w:rsid w:val="00814B70"/>
    <w:rsid w:val="008151F0"/>
    <w:rsid w:val="00815A55"/>
    <w:rsid w:val="008161EB"/>
    <w:rsid w:val="008163AC"/>
    <w:rsid w:val="00816608"/>
    <w:rsid w:val="00816B4C"/>
    <w:rsid w:val="00816D2E"/>
    <w:rsid w:val="00820338"/>
    <w:rsid w:val="00821457"/>
    <w:rsid w:val="00823B43"/>
    <w:rsid w:val="00825759"/>
    <w:rsid w:val="00825877"/>
    <w:rsid w:val="00825946"/>
    <w:rsid w:val="00825E0B"/>
    <w:rsid w:val="00831692"/>
    <w:rsid w:val="00831702"/>
    <w:rsid w:val="00831AA2"/>
    <w:rsid w:val="00833DD7"/>
    <w:rsid w:val="00834F5B"/>
    <w:rsid w:val="008361ED"/>
    <w:rsid w:val="0083635A"/>
    <w:rsid w:val="008365C8"/>
    <w:rsid w:val="0084147D"/>
    <w:rsid w:val="00844EB0"/>
    <w:rsid w:val="0084722B"/>
    <w:rsid w:val="008479EE"/>
    <w:rsid w:val="00850866"/>
    <w:rsid w:val="00851DA7"/>
    <w:rsid w:val="00853802"/>
    <w:rsid w:val="00853B40"/>
    <w:rsid w:val="0085429C"/>
    <w:rsid w:val="00856F93"/>
    <w:rsid w:val="0086268D"/>
    <w:rsid w:val="0086321C"/>
    <w:rsid w:val="008637CF"/>
    <w:rsid w:val="00865396"/>
    <w:rsid w:val="00865513"/>
    <w:rsid w:val="008655B9"/>
    <w:rsid w:val="008658D2"/>
    <w:rsid w:val="008675D4"/>
    <w:rsid w:val="0087266C"/>
    <w:rsid w:val="008726F1"/>
    <w:rsid w:val="00872B8A"/>
    <w:rsid w:val="00872E4B"/>
    <w:rsid w:val="00873573"/>
    <w:rsid w:val="0087511F"/>
    <w:rsid w:val="00876521"/>
    <w:rsid w:val="008766C9"/>
    <w:rsid w:val="0088164D"/>
    <w:rsid w:val="00882D6D"/>
    <w:rsid w:val="00884825"/>
    <w:rsid w:val="008856A3"/>
    <w:rsid w:val="00885816"/>
    <w:rsid w:val="00886BEF"/>
    <w:rsid w:val="00887FE3"/>
    <w:rsid w:val="008917D7"/>
    <w:rsid w:val="0089240E"/>
    <w:rsid w:val="00893462"/>
    <w:rsid w:val="0089406E"/>
    <w:rsid w:val="008940D8"/>
    <w:rsid w:val="00894572"/>
    <w:rsid w:val="008951D3"/>
    <w:rsid w:val="008953F1"/>
    <w:rsid w:val="00896D39"/>
    <w:rsid w:val="008978E2"/>
    <w:rsid w:val="00897911"/>
    <w:rsid w:val="008A1049"/>
    <w:rsid w:val="008A32D9"/>
    <w:rsid w:val="008A3876"/>
    <w:rsid w:val="008A590C"/>
    <w:rsid w:val="008B099A"/>
    <w:rsid w:val="008B35E6"/>
    <w:rsid w:val="008B3F0E"/>
    <w:rsid w:val="008B53F6"/>
    <w:rsid w:val="008B575F"/>
    <w:rsid w:val="008B6B8A"/>
    <w:rsid w:val="008B7710"/>
    <w:rsid w:val="008B7A73"/>
    <w:rsid w:val="008C06A6"/>
    <w:rsid w:val="008C17DA"/>
    <w:rsid w:val="008C1A0D"/>
    <w:rsid w:val="008C2153"/>
    <w:rsid w:val="008C3EB5"/>
    <w:rsid w:val="008C4BEB"/>
    <w:rsid w:val="008C4C37"/>
    <w:rsid w:val="008C61C8"/>
    <w:rsid w:val="008D136A"/>
    <w:rsid w:val="008D3411"/>
    <w:rsid w:val="008D3755"/>
    <w:rsid w:val="008D5CBD"/>
    <w:rsid w:val="008D6EF2"/>
    <w:rsid w:val="008E057A"/>
    <w:rsid w:val="008E20B9"/>
    <w:rsid w:val="008E3F48"/>
    <w:rsid w:val="008E4C8E"/>
    <w:rsid w:val="008E61A6"/>
    <w:rsid w:val="008E71FD"/>
    <w:rsid w:val="008F03DC"/>
    <w:rsid w:val="008F2AA2"/>
    <w:rsid w:val="008F30A1"/>
    <w:rsid w:val="008F490D"/>
    <w:rsid w:val="008F65BF"/>
    <w:rsid w:val="008F7CC9"/>
    <w:rsid w:val="00900AAF"/>
    <w:rsid w:val="0090154E"/>
    <w:rsid w:val="00901792"/>
    <w:rsid w:val="00901E52"/>
    <w:rsid w:val="009036E8"/>
    <w:rsid w:val="009045A8"/>
    <w:rsid w:val="00910794"/>
    <w:rsid w:val="009111BF"/>
    <w:rsid w:val="00911C44"/>
    <w:rsid w:val="00911EF6"/>
    <w:rsid w:val="009167AD"/>
    <w:rsid w:val="00926E66"/>
    <w:rsid w:val="00927872"/>
    <w:rsid w:val="0092797B"/>
    <w:rsid w:val="00927F0F"/>
    <w:rsid w:val="00930157"/>
    <w:rsid w:val="009315B8"/>
    <w:rsid w:val="009326F1"/>
    <w:rsid w:val="00933211"/>
    <w:rsid w:val="0093340F"/>
    <w:rsid w:val="00934452"/>
    <w:rsid w:val="00936003"/>
    <w:rsid w:val="00937165"/>
    <w:rsid w:val="00937791"/>
    <w:rsid w:val="00937A68"/>
    <w:rsid w:val="009403CA"/>
    <w:rsid w:val="00940B1C"/>
    <w:rsid w:val="00942BD5"/>
    <w:rsid w:val="00944C36"/>
    <w:rsid w:val="0094588D"/>
    <w:rsid w:val="00945B09"/>
    <w:rsid w:val="00950781"/>
    <w:rsid w:val="00950A0D"/>
    <w:rsid w:val="0095721D"/>
    <w:rsid w:val="009572D9"/>
    <w:rsid w:val="00957EA5"/>
    <w:rsid w:val="0096600E"/>
    <w:rsid w:val="009663D0"/>
    <w:rsid w:val="00970864"/>
    <w:rsid w:val="0097140F"/>
    <w:rsid w:val="0097345F"/>
    <w:rsid w:val="0097400B"/>
    <w:rsid w:val="009749BD"/>
    <w:rsid w:val="00975A52"/>
    <w:rsid w:val="00976363"/>
    <w:rsid w:val="009774EC"/>
    <w:rsid w:val="00977B5A"/>
    <w:rsid w:val="00980D8C"/>
    <w:rsid w:val="00981667"/>
    <w:rsid w:val="00987028"/>
    <w:rsid w:val="0098749A"/>
    <w:rsid w:val="00987A6E"/>
    <w:rsid w:val="009917D2"/>
    <w:rsid w:val="00991C5A"/>
    <w:rsid w:val="009927FB"/>
    <w:rsid w:val="00994207"/>
    <w:rsid w:val="00994262"/>
    <w:rsid w:val="0099493F"/>
    <w:rsid w:val="009976D1"/>
    <w:rsid w:val="00997CBB"/>
    <w:rsid w:val="00997D32"/>
    <w:rsid w:val="009A0604"/>
    <w:rsid w:val="009A2285"/>
    <w:rsid w:val="009A26A1"/>
    <w:rsid w:val="009A2EAB"/>
    <w:rsid w:val="009A561D"/>
    <w:rsid w:val="009A63E1"/>
    <w:rsid w:val="009A66F2"/>
    <w:rsid w:val="009B0218"/>
    <w:rsid w:val="009B13C1"/>
    <w:rsid w:val="009B47ED"/>
    <w:rsid w:val="009B49EF"/>
    <w:rsid w:val="009B4CF8"/>
    <w:rsid w:val="009B4D35"/>
    <w:rsid w:val="009B66ED"/>
    <w:rsid w:val="009B768B"/>
    <w:rsid w:val="009B789A"/>
    <w:rsid w:val="009C0420"/>
    <w:rsid w:val="009C0B86"/>
    <w:rsid w:val="009C18AA"/>
    <w:rsid w:val="009C1927"/>
    <w:rsid w:val="009C28A7"/>
    <w:rsid w:val="009C2C61"/>
    <w:rsid w:val="009C35B3"/>
    <w:rsid w:val="009C4826"/>
    <w:rsid w:val="009C4FE8"/>
    <w:rsid w:val="009D04C5"/>
    <w:rsid w:val="009D0690"/>
    <w:rsid w:val="009D27AD"/>
    <w:rsid w:val="009D5130"/>
    <w:rsid w:val="009D5C9F"/>
    <w:rsid w:val="009D707F"/>
    <w:rsid w:val="009D7762"/>
    <w:rsid w:val="009D7E10"/>
    <w:rsid w:val="009E0847"/>
    <w:rsid w:val="009E1487"/>
    <w:rsid w:val="009E17E8"/>
    <w:rsid w:val="009E1CA5"/>
    <w:rsid w:val="009E5B51"/>
    <w:rsid w:val="009E6063"/>
    <w:rsid w:val="009E7731"/>
    <w:rsid w:val="009E7E60"/>
    <w:rsid w:val="009F0DB6"/>
    <w:rsid w:val="009F1E51"/>
    <w:rsid w:val="009F36E2"/>
    <w:rsid w:val="009F3F4C"/>
    <w:rsid w:val="009F4F4D"/>
    <w:rsid w:val="009F6CF5"/>
    <w:rsid w:val="00A0063E"/>
    <w:rsid w:val="00A05B20"/>
    <w:rsid w:val="00A05DAD"/>
    <w:rsid w:val="00A06923"/>
    <w:rsid w:val="00A06EF8"/>
    <w:rsid w:val="00A07242"/>
    <w:rsid w:val="00A07367"/>
    <w:rsid w:val="00A07DDA"/>
    <w:rsid w:val="00A11F3A"/>
    <w:rsid w:val="00A12C99"/>
    <w:rsid w:val="00A13072"/>
    <w:rsid w:val="00A152E2"/>
    <w:rsid w:val="00A16F56"/>
    <w:rsid w:val="00A220BC"/>
    <w:rsid w:val="00A221B9"/>
    <w:rsid w:val="00A23A87"/>
    <w:rsid w:val="00A24033"/>
    <w:rsid w:val="00A24507"/>
    <w:rsid w:val="00A25273"/>
    <w:rsid w:val="00A25496"/>
    <w:rsid w:val="00A30113"/>
    <w:rsid w:val="00A30137"/>
    <w:rsid w:val="00A30F7A"/>
    <w:rsid w:val="00A32181"/>
    <w:rsid w:val="00A37832"/>
    <w:rsid w:val="00A40F98"/>
    <w:rsid w:val="00A42AEA"/>
    <w:rsid w:val="00A437DF"/>
    <w:rsid w:val="00A43AA7"/>
    <w:rsid w:val="00A445B9"/>
    <w:rsid w:val="00A44619"/>
    <w:rsid w:val="00A44907"/>
    <w:rsid w:val="00A465CD"/>
    <w:rsid w:val="00A477BD"/>
    <w:rsid w:val="00A47B30"/>
    <w:rsid w:val="00A51E90"/>
    <w:rsid w:val="00A533F3"/>
    <w:rsid w:val="00A5380D"/>
    <w:rsid w:val="00A5402E"/>
    <w:rsid w:val="00A549B8"/>
    <w:rsid w:val="00A6154B"/>
    <w:rsid w:val="00A61E60"/>
    <w:rsid w:val="00A63E76"/>
    <w:rsid w:val="00A64166"/>
    <w:rsid w:val="00A66705"/>
    <w:rsid w:val="00A67319"/>
    <w:rsid w:val="00A673B2"/>
    <w:rsid w:val="00A67D9F"/>
    <w:rsid w:val="00A70D0F"/>
    <w:rsid w:val="00A73A2A"/>
    <w:rsid w:val="00A73D67"/>
    <w:rsid w:val="00A8238B"/>
    <w:rsid w:val="00A82736"/>
    <w:rsid w:val="00A835D5"/>
    <w:rsid w:val="00A83B6E"/>
    <w:rsid w:val="00A85275"/>
    <w:rsid w:val="00A866A1"/>
    <w:rsid w:val="00A87786"/>
    <w:rsid w:val="00A914FB"/>
    <w:rsid w:val="00A926CD"/>
    <w:rsid w:val="00A93A3D"/>
    <w:rsid w:val="00A94D41"/>
    <w:rsid w:val="00A954D0"/>
    <w:rsid w:val="00AA1371"/>
    <w:rsid w:val="00AA14F4"/>
    <w:rsid w:val="00AA42FB"/>
    <w:rsid w:val="00AA5322"/>
    <w:rsid w:val="00AA5BE1"/>
    <w:rsid w:val="00AA6131"/>
    <w:rsid w:val="00AA7381"/>
    <w:rsid w:val="00AA73CF"/>
    <w:rsid w:val="00AA784D"/>
    <w:rsid w:val="00AB1AA6"/>
    <w:rsid w:val="00AB4F6D"/>
    <w:rsid w:val="00AB5DEF"/>
    <w:rsid w:val="00AC08E6"/>
    <w:rsid w:val="00AC568E"/>
    <w:rsid w:val="00AC5768"/>
    <w:rsid w:val="00AC5877"/>
    <w:rsid w:val="00AC67A3"/>
    <w:rsid w:val="00AC73BB"/>
    <w:rsid w:val="00AC77BA"/>
    <w:rsid w:val="00AD13A7"/>
    <w:rsid w:val="00AD2553"/>
    <w:rsid w:val="00AD31FE"/>
    <w:rsid w:val="00AD4851"/>
    <w:rsid w:val="00AD5546"/>
    <w:rsid w:val="00AD5565"/>
    <w:rsid w:val="00AD5EFF"/>
    <w:rsid w:val="00AD5FE6"/>
    <w:rsid w:val="00AD68EF"/>
    <w:rsid w:val="00AD7E04"/>
    <w:rsid w:val="00AE399C"/>
    <w:rsid w:val="00AE4660"/>
    <w:rsid w:val="00AE51FC"/>
    <w:rsid w:val="00AE5762"/>
    <w:rsid w:val="00AE69E9"/>
    <w:rsid w:val="00AF00F9"/>
    <w:rsid w:val="00AF1CC4"/>
    <w:rsid w:val="00AF1E02"/>
    <w:rsid w:val="00AF457A"/>
    <w:rsid w:val="00AF482D"/>
    <w:rsid w:val="00AF51AB"/>
    <w:rsid w:val="00AF6CCA"/>
    <w:rsid w:val="00AF73E9"/>
    <w:rsid w:val="00B012D0"/>
    <w:rsid w:val="00B015CC"/>
    <w:rsid w:val="00B02218"/>
    <w:rsid w:val="00B06DCA"/>
    <w:rsid w:val="00B07154"/>
    <w:rsid w:val="00B07C8E"/>
    <w:rsid w:val="00B07D4E"/>
    <w:rsid w:val="00B125A8"/>
    <w:rsid w:val="00B16DA7"/>
    <w:rsid w:val="00B2007F"/>
    <w:rsid w:val="00B21A61"/>
    <w:rsid w:val="00B224F0"/>
    <w:rsid w:val="00B23ED2"/>
    <w:rsid w:val="00B241DA"/>
    <w:rsid w:val="00B25262"/>
    <w:rsid w:val="00B255E5"/>
    <w:rsid w:val="00B25A3B"/>
    <w:rsid w:val="00B25D94"/>
    <w:rsid w:val="00B267B0"/>
    <w:rsid w:val="00B3649B"/>
    <w:rsid w:val="00B36877"/>
    <w:rsid w:val="00B36DFC"/>
    <w:rsid w:val="00B42A58"/>
    <w:rsid w:val="00B44FCE"/>
    <w:rsid w:val="00B45F68"/>
    <w:rsid w:val="00B462E9"/>
    <w:rsid w:val="00B50188"/>
    <w:rsid w:val="00B50600"/>
    <w:rsid w:val="00B51D8A"/>
    <w:rsid w:val="00B53FEB"/>
    <w:rsid w:val="00B56BF9"/>
    <w:rsid w:val="00B63490"/>
    <w:rsid w:val="00B645A8"/>
    <w:rsid w:val="00B66BBF"/>
    <w:rsid w:val="00B6742D"/>
    <w:rsid w:val="00B724DF"/>
    <w:rsid w:val="00B726FC"/>
    <w:rsid w:val="00B7270F"/>
    <w:rsid w:val="00B76005"/>
    <w:rsid w:val="00B804B9"/>
    <w:rsid w:val="00B80FC3"/>
    <w:rsid w:val="00B815D4"/>
    <w:rsid w:val="00B83278"/>
    <w:rsid w:val="00B83B58"/>
    <w:rsid w:val="00B85CE4"/>
    <w:rsid w:val="00B86977"/>
    <w:rsid w:val="00B86E45"/>
    <w:rsid w:val="00B87538"/>
    <w:rsid w:val="00B92495"/>
    <w:rsid w:val="00B930D1"/>
    <w:rsid w:val="00BA0F5B"/>
    <w:rsid w:val="00BA1DDB"/>
    <w:rsid w:val="00BA2D7C"/>
    <w:rsid w:val="00BB0B51"/>
    <w:rsid w:val="00BB1081"/>
    <w:rsid w:val="00BB18A5"/>
    <w:rsid w:val="00BB5328"/>
    <w:rsid w:val="00BB6721"/>
    <w:rsid w:val="00BB6D67"/>
    <w:rsid w:val="00BC4DA7"/>
    <w:rsid w:val="00BC607D"/>
    <w:rsid w:val="00BC6CD8"/>
    <w:rsid w:val="00BD00C3"/>
    <w:rsid w:val="00BD07E7"/>
    <w:rsid w:val="00BD28B4"/>
    <w:rsid w:val="00BD2925"/>
    <w:rsid w:val="00BD38EE"/>
    <w:rsid w:val="00BD43B1"/>
    <w:rsid w:val="00BD54FE"/>
    <w:rsid w:val="00BD692D"/>
    <w:rsid w:val="00BD7C9C"/>
    <w:rsid w:val="00BE16A0"/>
    <w:rsid w:val="00BE43F5"/>
    <w:rsid w:val="00BE4A07"/>
    <w:rsid w:val="00BE5617"/>
    <w:rsid w:val="00BE6093"/>
    <w:rsid w:val="00BE60F8"/>
    <w:rsid w:val="00BF230C"/>
    <w:rsid w:val="00BF3546"/>
    <w:rsid w:val="00BF42E7"/>
    <w:rsid w:val="00BF509D"/>
    <w:rsid w:val="00BF7255"/>
    <w:rsid w:val="00C0000E"/>
    <w:rsid w:val="00C00A3A"/>
    <w:rsid w:val="00C023C6"/>
    <w:rsid w:val="00C03569"/>
    <w:rsid w:val="00C055F9"/>
    <w:rsid w:val="00C05A94"/>
    <w:rsid w:val="00C0731E"/>
    <w:rsid w:val="00C127DC"/>
    <w:rsid w:val="00C13219"/>
    <w:rsid w:val="00C1350C"/>
    <w:rsid w:val="00C13A74"/>
    <w:rsid w:val="00C13FB0"/>
    <w:rsid w:val="00C20453"/>
    <w:rsid w:val="00C221F8"/>
    <w:rsid w:val="00C2264B"/>
    <w:rsid w:val="00C2375C"/>
    <w:rsid w:val="00C2428D"/>
    <w:rsid w:val="00C26546"/>
    <w:rsid w:val="00C31A87"/>
    <w:rsid w:val="00C320AE"/>
    <w:rsid w:val="00C36885"/>
    <w:rsid w:val="00C376EA"/>
    <w:rsid w:val="00C41622"/>
    <w:rsid w:val="00C44BD1"/>
    <w:rsid w:val="00C45577"/>
    <w:rsid w:val="00C45A68"/>
    <w:rsid w:val="00C4646C"/>
    <w:rsid w:val="00C46754"/>
    <w:rsid w:val="00C46FD8"/>
    <w:rsid w:val="00C50C41"/>
    <w:rsid w:val="00C50E53"/>
    <w:rsid w:val="00C526FF"/>
    <w:rsid w:val="00C60A2C"/>
    <w:rsid w:val="00C60F5E"/>
    <w:rsid w:val="00C625EA"/>
    <w:rsid w:val="00C728F0"/>
    <w:rsid w:val="00C73131"/>
    <w:rsid w:val="00C734AD"/>
    <w:rsid w:val="00C74A8E"/>
    <w:rsid w:val="00C75650"/>
    <w:rsid w:val="00C75A82"/>
    <w:rsid w:val="00C75B26"/>
    <w:rsid w:val="00C75E5A"/>
    <w:rsid w:val="00C76DE5"/>
    <w:rsid w:val="00C76FCF"/>
    <w:rsid w:val="00C81706"/>
    <w:rsid w:val="00C81EF3"/>
    <w:rsid w:val="00C84599"/>
    <w:rsid w:val="00C84D23"/>
    <w:rsid w:val="00C86523"/>
    <w:rsid w:val="00C90500"/>
    <w:rsid w:val="00C905F1"/>
    <w:rsid w:val="00C90FAD"/>
    <w:rsid w:val="00C916D9"/>
    <w:rsid w:val="00C921ED"/>
    <w:rsid w:val="00C9258D"/>
    <w:rsid w:val="00C945B3"/>
    <w:rsid w:val="00C9551F"/>
    <w:rsid w:val="00C961DD"/>
    <w:rsid w:val="00C96E3C"/>
    <w:rsid w:val="00CA0A06"/>
    <w:rsid w:val="00CA1155"/>
    <w:rsid w:val="00CA3E87"/>
    <w:rsid w:val="00CA646D"/>
    <w:rsid w:val="00CA6D64"/>
    <w:rsid w:val="00CA77AB"/>
    <w:rsid w:val="00CB0C30"/>
    <w:rsid w:val="00CB0EAA"/>
    <w:rsid w:val="00CB1306"/>
    <w:rsid w:val="00CB1DF7"/>
    <w:rsid w:val="00CB2DE1"/>
    <w:rsid w:val="00CB50DF"/>
    <w:rsid w:val="00CB6545"/>
    <w:rsid w:val="00CC223C"/>
    <w:rsid w:val="00CC2755"/>
    <w:rsid w:val="00CC51DA"/>
    <w:rsid w:val="00CC6B19"/>
    <w:rsid w:val="00CC7B53"/>
    <w:rsid w:val="00CD39BE"/>
    <w:rsid w:val="00CD3EBE"/>
    <w:rsid w:val="00CD43B3"/>
    <w:rsid w:val="00CD4993"/>
    <w:rsid w:val="00CD6D04"/>
    <w:rsid w:val="00CD7BC0"/>
    <w:rsid w:val="00CE030B"/>
    <w:rsid w:val="00CE1148"/>
    <w:rsid w:val="00CE1874"/>
    <w:rsid w:val="00CE1F33"/>
    <w:rsid w:val="00CE355C"/>
    <w:rsid w:val="00CE4137"/>
    <w:rsid w:val="00CE437F"/>
    <w:rsid w:val="00CE5788"/>
    <w:rsid w:val="00CF45E9"/>
    <w:rsid w:val="00CF563C"/>
    <w:rsid w:val="00CF7241"/>
    <w:rsid w:val="00D01AD3"/>
    <w:rsid w:val="00D0220B"/>
    <w:rsid w:val="00D04174"/>
    <w:rsid w:val="00D057AF"/>
    <w:rsid w:val="00D112F1"/>
    <w:rsid w:val="00D12979"/>
    <w:rsid w:val="00D145C3"/>
    <w:rsid w:val="00D15BA1"/>
    <w:rsid w:val="00D16041"/>
    <w:rsid w:val="00D21BB0"/>
    <w:rsid w:val="00D225E7"/>
    <w:rsid w:val="00D23B40"/>
    <w:rsid w:val="00D23CC6"/>
    <w:rsid w:val="00D242DC"/>
    <w:rsid w:val="00D26C6F"/>
    <w:rsid w:val="00D27239"/>
    <w:rsid w:val="00D27B94"/>
    <w:rsid w:val="00D303D3"/>
    <w:rsid w:val="00D30F4B"/>
    <w:rsid w:val="00D30FFE"/>
    <w:rsid w:val="00D33920"/>
    <w:rsid w:val="00D34351"/>
    <w:rsid w:val="00D4242C"/>
    <w:rsid w:val="00D42A9B"/>
    <w:rsid w:val="00D447D2"/>
    <w:rsid w:val="00D4567F"/>
    <w:rsid w:val="00D47CF9"/>
    <w:rsid w:val="00D47E53"/>
    <w:rsid w:val="00D5239B"/>
    <w:rsid w:val="00D54098"/>
    <w:rsid w:val="00D5673C"/>
    <w:rsid w:val="00D57D31"/>
    <w:rsid w:val="00D608AD"/>
    <w:rsid w:val="00D62874"/>
    <w:rsid w:val="00D63DA4"/>
    <w:rsid w:val="00D640F7"/>
    <w:rsid w:val="00D64ACA"/>
    <w:rsid w:val="00D65E11"/>
    <w:rsid w:val="00D679B8"/>
    <w:rsid w:val="00D701E0"/>
    <w:rsid w:val="00D70475"/>
    <w:rsid w:val="00D705B2"/>
    <w:rsid w:val="00D70702"/>
    <w:rsid w:val="00D7091A"/>
    <w:rsid w:val="00D72022"/>
    <w:rsid w:val="00D7394E"/>
    <w:rsid w:val="00D73B1D"/>
    <w:rsid w:val="00D75560"/>
    <w:rsid w:val="00D76B47"/>
    <w:rsid w:val="00D76CDF"/>
    <w:rsid w:val="00D80D13"/>
    <w:rsid w:val="00D8354F"/>
    <w:rsid w:val="00D84021"/>
    <w:rsid w:val="00D848CA"/>
    <w:rsid w:val="00D8534B"/>
    <w:rsid w:val="00D85B39"/>
    <w:rsid w:val="00D87DE2"/>
    <w:rsid w:val="00D90199"/>
    <w:rsid w:val="00D90EE2"/>
    <w:rsid w:val="00D9429B"/>
    <w:rsid w:val="00D972B7"/>
    <w:rsid w:val="00DA1C65"/>
    <w:rsid w:val="00DA40CA"/>
    <w:rsid w:val="00DA4E09"/>
    <w:rsid w:val="00DA6731"/>
    <w:rsid w:val="00DA770F"/>
    <w:rsid w:val="00DB0F35"/>
    <w:rsid w:val="00DB3628"/>
    <w:rsid w:val="00DB53A9"/>
    <w:rsid w:val="00DB77A0"/>
    <w:rsid w:val="00DB7B75"/>
    <w:rsid w:val="00DC138E"/>
    <w:rsid w:val="00DC430A"/>
    <w:rsid w:val="00DC5B20"/>
    <w:rsid w:val="00DC694D"/>
    <w:rsid w:val="00DD09F1"/>
    <w:rsid w:val="00DD0CA4"/>
    <w:rsid w:val="00DD1AE5"/>
    <w:rsid w:val="00DD20FA"/>
    <w:rsid w:val="00DD2E5D"/>
    <w:rsid w:val="00DD544E"/>
    <w:rsid w:val="00DD5FEF"/>
    <w:rsid w:val="00DD6C82"/>
    <w:rsid w:val="00DD7F16"/>
    <w:rsid w:val="00DE140C"/>
    <w:rsid w:val="00DE3AA6"/>
    <w:rsid w:val="00DE5F7E"/>
    <w:rsid w:val="00DE67C5"/>
    <w:rsid w:val="00DE6C97"/>
    <w:rsid w:val="00DE6CE0"/>
    <w:rsid w:val="00DE6EDF"/>
    <w:rsid w:val="00DE7D84"/>
    <w:rsid w:val="00DF191D"/>
    <w:rsid w:val="00DF1F88"/>
    <w:rsid w:val="00DF223F"/>
    <w:rsid w:val="00DF2EAB"/>
    <w:rsid w:val="00DF44E4"/>
    <w:rsid w:val="00DF69BC"/>
    <w:rsid w:val="00DF6BC4"/>
    <w:rsid w:val="00DF762D"/>
    <w:rsid w:val="00E000BF"/>
    <w:rsid w:val="00E03D6F"/>
    <w:rsid w:val="00E047AB"/>
    <w:rsid w:val="00E05670"/>
    <w:rsid w:val="00E05D76"/>
    <w:rsid w:val="00E070CD"/>
    <w:rsid w:val="00E07C8C"/>
    <w:rsid w:val="00E10646"/>
    <w:rsid w:val="00E13348"/>
    <w:rsid w:val="00E13615"/>
    <w:rsid w:val="00E1480A"/>
    <w:rsid w:val="00E15DA1"/>
    <w:rsid w:val="00E16A1B"/>
    <w:rsid w:val="00E16F1D"/>
    <w:rsid w:val="00E17B97"/>
    <w:rsid w:val="00E200BD"/>
    <w:rsid w:val="00E20835"/>
    <w:rsid w:val="00E20A18"/>
    <w:rsid w:val="00E23235"/>
    <w:rsid w:val="00E23A1F"/>
    <w:rsid w:val="00E2443D"/>
    <w:rsid w:val="00E26D58"/>
    <w:rsid w:val="00E27762"/>
    <w:rsid w:val="00E27F0F"/>
    <w:rsid w:val="00E30116"/>
    <w:rsid w:val="00E31976"/>
    <w:rsid w:val="00E327E1"/>
    <w:rsid w:val="00E35231"/>
    <w:rsid w:val="00E35F59"/>
    <w:rsid w:val="00E36FD3"/>
    <w:rsid w:val="00E37EC5"/>
    <w:rsid w:val="00E44394"/>
    <w:rsid w:val="00E4729C"/>
    <w:rsid w:val="00E500EB"/>
    <w:rsid w:val="00E505FB"/>
    <w:rsid w:val="00E50857"/>
    <w:rsid w:val="00E511D6"/>
    <w:rsid w:val="00E5137D"/>
    <w:rsid w:val="00E521EC"/>
    <w:rsid w:val="00E53F71"/>
    <w:rsid w:val="00E541F9"/>
    <w:rsid w:val="00E54208"/>
    <w:rsid w:val="00E60A24"/>
    <w:rsid w:val="00E60FA8"/>
    <w:rsid w:val="00E628EF"/>
    <w:rsid w:val="00E646A4"/>
    <w:rsid w:val="00E646BB"/>
    <w:rsid w:val="00E64D10"/>
    <w:rsid w:val="00E6706B"/>
    <w:rsid w:val="00E67FC2"/>
    <w:rsid w:val="00E7030E"/>
    <w:rsid w:val="00E72180"/>
    <w:rsid w:val="00E74C85"/>
    <w:rsid w:val="00E75490"/>
    <w:rsid w:val="00E7633D"/>
    <w:rsid w:val="00E764CC"/>
    <w:rsid w:val="00E77C72"/>
    <w:rsid w:val="00E81C89"/>
    <w:rsid w:val="00E825C6"/>
    <w:rsid w:val="00E850EE"/>
    <w:rsid w:val="00E85EAC"/>
    <w:rsid w:val="00E922BC"/>
    <w:rsid w:val="00E92346"/>
    <w:rsid w:val="00E9334E"/>
    <w:rsid w:val="00E94F82"/>
    <w:rsid w:val="00E950C9"/>
    <w:rsid w:val="00E9577F"/>
    <w:rsid w:val="00E95824"/>
    <w:rsid w:val="00E96458"/>
    <w:rsid w:val="00E96693"/>
    <w:rsid w:val="00E96B6B"/>
    <w:rsid w:val="00E97353"/>
    <w:rsid w:val="00EA2943"/>
    <w:rsid w:val="00EA3340"/>
    <w:rsid w:val="00EA506C"/>
    <w:rsid w:val="00EA6455"/>
    <w:rsid w:val="00EA75C1"/>
    <w:rsid w:val="00EA76B7"/>
    <w:rsid w:val="00EA7E68"/>
    <w:rsid w:val="00EB03C7"/>
    <w:rsid w:val="00EB2B9B"/>
    <w:rsid w:val="00EB38E6"/>
    <w:rsid w:val="00EB473C"/>
    <w:rsid w:val="00EB4B9B"/>
    <w:rsid w:val="00EB4E6E"/>
    <w:rsid w:val="00EB4FC3"/>
    <w:rsid w:val="00EB7EDC"/>
    <w:rsid w:val="00EC0B16"/>
    <w:rsid w:val="00EC167B"/>
    <w:rsid w:val="00EC2005"/>
    <w:rsid w:val="00EC2041"/>
    <w:rsid w:val="00EC286D"/>
    <w:rsid w:val="00EC320F"/>
    <w:rsid w:val="00EC3CA8"/>
    <w:rsid w:val="00EC4826"/>
    <w:rsid w:val="00EC4F48"/>
    <w:rsid w:val="00EC5260"/>
    <w:rsid w:val="00EC5791"/>
    <w:rsid w:val="00ED0A8D"/>
    <w:rsid w:val="00ED23F7"/>
    <w:rsid w:val="00ED2934"/>
    <w:rsid w:val="00ED3715"/>
    <w:rsid w:val="00ED668C"/>
    <w:rsid w:val="00EE0C2B"/>
    <w:rsid w:val="00EE0C5F"/>
    <w:rsid w:val="00EE12CE"/>
    <w:rsid w:val="00EE3947"/>
    <w:rsid w:val="00EE4D62"/>
    <w:rsid w:val="00EF0D0C"/>
    <w:rsid w:val="00EF14C3"/>
    <w:rsid w:val="00EF36E2"/>
    <w:rsid w:val="00EF36E3"/>
    <w:rsid w:val="00EF62F5"/>
    <w:rsid w:val="00EF712C"/>
    <w:rsid w:val="00F00AB2"/>
    <w:rsid w:val="00F01237"/>
    <w:rsid w:val="00F0164D"/>
    <w:rsid w:val="00F025DE"/>
    <w:rsid w:val="00F02813"/>
    <w:rsid w:val="00F03196"/>
    <w:rsid w:val="00F034CA"/>
    <w:rsid w:val="00F03C66"/>
    <w:rsid w:val="00F0645F"/>
    <w:rsid w:val="00F0719F"/>
    <w:rsid w:val="00F0758D"/>
    <w:rsid w:val="00F10242"/>
    <w:rsid w:val="00F108AC"/>
    <w:rsid w:val="00F11EDC"/>
    <w:rsid w:val="00F12F42"/>
    <w:rsid w:val="00F13DE4"/>
    <w:rsid w:val="00F16550"/>
    <w:rsid w:val="00F17A33"/>
    <w:rsid w:val="00F21A8A"/>
    <w:rsid w:val="00F27A88"/>
    <w:rsid w:val="00F31028"/>
    <w:rsid w:val="00F31F0C"/>
    <w:rsid w:val="00F327C3"/>
    <w:rsid w:val="00F3340B"/>
    <w:rsid w:val="00F34DC0"/>
    <w:rsid w:val="00F37548"/>
    <w:rsid w:val="00F3779A"/>
    <w:rsid w:val="00F421E6"/>
    <w:rsid w:val="00F4241C"/>
    <w:rsid w:val="00F429E6"/>
    <w:rsid w:val="00F5028B"/>
    <w:rsid w:val="00F50673"/>
    <w:rsid w:val="00F51C55"/>
    <w:rsid w:val="00F526AF"/>
    <w:rsid w:val="00F52A7B"/>
    <w:rsid w:val="00F52DB4"/>
    <w:rsid w:val="00F618C6"/>
    <w:rsid w:val="00F62819"/>
    <w:rsid w:val="00F64C08"/>
    <w:rsid w:val="00F670D2"/>
    <w:rsid w:val="00F713C4"/>
    <w:rsid w:val="00F758A0"/>
    <w:rsid w:val="00F76A72"/>
    <w:rsid w:val="00F77EED"/>
    <w:rsid w:val="00F8023E"/>
    <w:rsid w:val="00F8291D"/>
    <w:rsid w:val="00F852C2"/>
    <w:rsid w:val="00F855B3"/>
    <w:rsid w:val="00F872AD"/>
    <w:rsid w:val="00F87807"/>
    <w:rsid w:val="00F900AE"/>
    <w:rsid w:val="00F90496"/>
    <w:rsid w:val="00F91764"/>
    <w:rsid w:val="00F9251B"/>
    <w:rsid w:val="00F95D8C"/>
    <w:rsid w:val="00F96514"/>
    <w:rsid w:val="00F96C32"/>
    <w:rsid w:val="00FA1A5C"/>
    <w:rsid w:val="00FA24FE"/>
    <w:rsid w:val="00FA2E62"/>
    <w:rsid w:val="00FA506B"/>
    <w:rsid w:val="00FA6A25"/>
    <w:rsid w:val="00FB3B57"/>
    <w:rsid w:val="00FB44FE"/>
    <w:rsid w:val="00FB4E97"/>
    <w:rsid w:val="00FB587D"/>
    <w:rsid w:val="00FB75A8"/>
    <w:rsid w:val="00FC3D4A"/>
    <w:rsid w:val="00FC7143"/>
    <w:rsid w:val="00FC72C1"/>
    <w:rsid w:val="00FC7A63"/>
    <w:rsid w:val="00FC7C8F"/>
    <w:rsid w:val="00FD2496"/>
    <w:rsid w:val="00FD5ED9"/>
    <w:rsid w:val="00FD6AE8"/>
    <w:rsid w:val="00FD6F50"/>
    <w:rsid w:val="00FD7D62"/>
    <w:rsid w:val="00FE0FB0"/>
    <w:rsid w:val="00FE13BD"/>
    <w:rsid w:val="00FE3F6A"/>
    <w:rsid w:val="00FF3527"/>
    <w:rsid w:val="00FF39DE"/>
    <w:rsid w:val="00FF4731"/>
    <w:rsid w:val="00FF5996"/>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96252">
      <w:bodyDiv w:val="1"/>
      <w:marLeft w:val="0"/>
      <w:marRight w:val="0"/>
      <w:marTop w:val="0"/>
      <w:marBottom w:val="0"/>
      <w:divBdr>
        <w:top w:val="none" w:sz="0" w:space="0" w:color="auto"/>
        <w:left w:val="none" w:sz="0" w:space="0" w:color="auto"/>
        <w:bottom w:val="none" w:sz="0" w:space="0" w:color="auto"/>
        <w:right w:val="none" w:sz="0" w:space="0" w:color="auto"/>
      </w:divBdr>
      <w:divsChild>
        <w:div w:id="472140082">
          <w:marLeft w:val="0"/>
          <w:marRight w:val="0"/>
          <w:marTop w:val="0"/>
          <w:marBottom w:val="0"/>
          <w:divBdr>
            <w:top w:val="none" w:sz="0" w:space="0" w:color="auto"/>
            <w:left w:val="none" w:sz="0" w:space="0" w:color="auto"/>
            <w:bottom w:val="none" w:sz="0" w:space="0" w:color="auto"/>
            <w:right w:val="none" w:sz="0" w:space="0" w:color="auto"/>
          </w:divBdr>
          <w:divsChild>
            <w:div w:id="1884631164">
              <w:marLeft w:val="0"/>
              <w:marRight w:val="0"/>
              <w:marTop w:val="0"/>
              <w:marBottom w:val="0"/>
              <w:divBdr>
                <w:top w:val="none" w:sz="0" w:space="0" w:color="auto"/>
                <w:left w:val="none" w:sz="0" w:space="0" w:color="auto"/>
                <w:bottom w:val="none" w:sz="0" w:space="0" w:color="auto"/>
                <w:right w:val="none" w:sz="0" w:space="0" w:color="auto"/>
              </w:divBdr>
              <w:divsChild>
                <w:div w:id="3698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0393">
      <w:bodyDiv w:val="1"/>
      <w:marLeft w:val="0"/>
      <w:marRight w:val="0"/>
      <w:marTop w:val="0"/>
      <w:marBottom w:val="0"/>
      <w:divBdr>
        <w:top w:val="none" w:sz="0" w:space="0" w:color="auto"/>
        <w:left w:val="none" w:sz="0" w:space="0" w:color="auto"/>
        <w:bottom w:val="none" w:sz="0" w:space="0" w:color="auto"/>
        <w:right w:val="none" w:sz="0" w:space="0" w:color="auto"/>
      </w:divBdr>
    </w:div>
    <w:div w:id="1628312702">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1112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MILENKOVIĆ, Bora</Reference>
    <Case_x0020_Year xmlns="63130c8a-8d1f-4e28-8ee3-43603ca9ef3b">2009</Case_x0020_Year>
    <Case_x0020_Status xmlns="16f2acb5-7363-4076-9084-069fc3bb4325">CASE CLOSED</Case_x0020_Status>
    <Date_x0020_of_x0020_Adoption xmlns="16f2acb5-7363-4076-9084-069fc3bb4325">2014-09-16T22:00:00+00:00</Date_x0020_of_x0020_Adoption>
    <Case_x0020_Number xmlns="16f2acb5-7363-4076-9084-069fc3bb4325">176/09</Case_x0020_Number>
    <Type_x0020_of_x0020_Document xmlns="16f2acb5-7363-4076-9084-069fc3bb4325">Opinion</Type_x0020_of_x0020_Document>
    <_dlc_DocId xmlns="b9fab99d-1571-47f6-8995-3a195ef041f8">M5JDUUKXSQ5W-25-1041</_dlc_DocId>
    <_dlc_DocIdUrl xmlns="b9fab99d-1571-47f6-8995-3a195ef041f8">
      <Url>http://www.unmikonline.org/hrap/Eng/_layouts/DocIdRedir.aspx?ID=M5JDUUKXSQ5W-25-1041</Url>
      <Description>M5JDUUKXSQ5W-25-1041</Description>
    </_dlc_DocIdUrl>
  </documentManagement>
</p:properties>
</file>

<file path=customXml/itemProps1.xml><?xml version="1.0" encoding="utf-8"?>
<ds:datastoreItem xmlns:ds="http://schemas.openxmlformats.org/officeDocument/2006/customXml" ds:itemID="{233D6FE9-AFC3-4B34-8F32-B1D07E2FA6E7}"/>
</file>

<file path=customXml/itemProps2.xml><?xml version="1.0" encoding="utf-8"?>
<ds:datastoreItem xmlns:ds="http://schemas.openxmlformats.org/officeDocument/2006/customXml" ds:itemID="{1C72045F-3D26-47F7-B696-E2FCF62950E0}"/>
</file>

<file path=customXml/itemProps3.xml><?xml version="1.0" encoding="utf-8"?>
<ds:datastoreItem xmlns:ds="http://schemas.openxmlformats.org/officeDocument/2006/customXml" ds:itemID="{3F051F96-D39E-4FEA-B195-28B5F671F0EE}"/>
</file>

<file path=customXml/itemProps4.xml><?xml version="1.0" encoding="utf-8"?>
<ds:datastoreItem xmlns:ds="http://schemas.openxmlformats.org/officeDocument/2006/customXml" ds:itemID="{09294BCE-FDA1-41FF-BF17-D14B9B143C7A}"/>
</file>

<file path=customXml/itemProps5.xml><?xml version="1.0" encoding="utf-8"?>
<ds:datastoreItem xmlns:ds="http://schemas.openxmlformats.org/officeDocument/2006/customXml" ds:itemID="{59967F8D-4330-4036-885F-2BFA4F9FBC0B}"/>
</file>

<file path=docProps/app.xml><?xml version="1.0" encoding="utf-8"?>
<Properties xmlns="http://schemas.openxmlformats.org/officeDocument/2006/extended-properties" xmlns:vt="http://schemas.openxmlformats.org/officeDocument/2006/docPropsVTypes">
  <Template>Normal</Template>
  <TotalTime>0</TotalTime>
  <Pages>32</Pages>
  <Words>14589</Words>
  <Characters>83160</Characters>
  <Application>Microsoft Office Word</Application>
  <DocSecurity>0</DocSecurity>
  <Lines>693</Lines>
  <Paragraphs>195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97554</CharactersWithSpaces>
  <SharedDoc>false</SharedDoc>
  <HLinks>
    <vt:vector size="24" baseType="variant">
      <vt:variant>
        <vt:i4>3473468</vt:i4>
      </vt:variant>
      <vt:variant>
        <vt:i4>15</vt:i4>
      </vt:variant>
      <vt:variant>
        <vt:i4>0</vt:i4>
      </vt:variant>
      <vt:variant>
        <vt:i4>5</vt:i4>
      </vt:variant>
      <vt:variant>
        <vt:lpwstr>http://untreaty.un.org/English/TreatyEvent2001/pdf/07e.pdf</vt:lpwstr>
      </vt:variant>
      <vt:variant>
        <vt:lpwstr/>
      </vt:variant>
      <vt:variant>
        <vt:i4>6357052</vt:i4>
      </vt:variant>
      <vt:variant>
        <vt:i4>6</vt:i4>
      </vt:variant>
      <vt:variant>
        <vt:i4>0</vt:i4>
      </vt:variant>
      <vt:variant>
        <vt:i4>5</vt:i4>
      </vt:variant>
      <vt:variant>
        <vt:lpwstr>http://www.ic-mp.org/fdmsweb/index.php?w=mp_details_popup&amp;l=en\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2014-10-20T15:08:00Z</cp:lastPrinted>
  <dcterms:created xsi:type="dcterms:W3CDTF">2014-11-10T15:53:00Z</dcterms:created>
  <dcterms:modified xsi:type="dcterms:W3CDTF">2014-11-10T15:53:00Z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c3bf2755-b52f-4cd1-ad72-6644b343a415</vt:lpwstr>
  </property>
</Properties>
</file>